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F7AC" w14:textId="5BA90A2D" w:rsidR="007B3D6D" w:rsidRPr="007B3D6D" w:rsidRDefault="00B61DB2" w:rsidP="003B760B">
      <w:pPr>
        <w:shd w:val="clear" w:color="auto" w:fill="A8D08D" w:themeFill="accent6" w:themeFillTint="99"/>
        <w:jc w:val="center"/>
        <w:rPr>
          <w:b/>
          <w:szCs w:val="24"/>
        </w:rPr>
      </w:pPr>
      <w:r w:rsidRPr="009716F3">
        <w:rPr>
          <w:b/>
          <w:sz w:val="36"/>
          <w:szCs w:val="24"/>
        </w:rPr>
        <w:t>Codebook</w:t>
      </w:r>
      <w:r w:rsidR="007B3D6D">
        <w:rPr>
          <w:b/>
          <w:sz w:val="36"/>
          <w:szCs w:val="24"/>
        </w:rPr>
        <w:t xml:space="preserve"> </w:t>
      </w:r>
      <w:r w:rsidR="002D5149">
        <w:rPr>
          <w:b/>
          <w:sz w:val="36"/>
          <w:szCs w:val="24"/>
        </w:rPr>
        <w:t>MIA</w:t>
      </w:r>
      <w:r w:rsidR="00CB74AA">
        <w:rPr>
          <w:b/>
          <w:sz w:val="36"/>
          <w:szCs w:val="24"/>
        </w:rPr>
        <w:t>-</w:t>
      </w:r>
      <w:r w:rsidR="002D5149">
        <w:rPr>
          <w:b/>
          <w:sz w:val="36"/>
          <w:szCs w:val="24"/>
        </w:rPr>
        <w:t>AUTHORITY</w:t>
      </w:r>
      <w:r w:rsidR="00CB74AA">
        <w:rPr>
          <w:b/>
          <w:sz w:val="36"/>
          <w:szCs w:val="24"/>
        </w:rPr>
        <w:t xml:space="preserve"> </w:t>
      </w:r>
      <w:r w:rsidR="00CB74AA">
        <w:rPr>
          <w:b/>
          <w:sz w:val="36"/>
          <w:szCs w:val="24"/>
        </w:rPr>
        <w:br/>
      </w:r>
      <w:r w:rsidR="002D5149">
        <w:rPr>
          <w:b/>
          <w:sz w:val="36"/>
          <w:szCs w:val="24"/>
        </w:rPr>
        <w:t xml:space="preserve">Measure of International Authority </w:t>
      </w:r>
      <w:r w:rsidR="007B3D6D">
        <w:rPr>
          <w:b/>
          <w:sz w:val="36"/>
          <w:szCs w:val="24"/>
        </w:rPr>
        <w:t>(</w:t>
      </w:r>
      <w:r w:rsidR="002D5149">
        <w:rPr>
          <w:b/>
          <w:sz w:val="36"/>
          <w:szCs w:val="24"/>
        </w:rPr>
        <w:t xml:space="preserve">MIA </w:t>
      </w:r>
      <w:r w:rsidR="002B19B4">
        <w:rPr>
          <w:b/>
          <w:sz w:val="36"/>
          <w:szCs w:val="24"/>
        </w:rPr>
        <w:t xml:space="preserve">v. </w:t>
      </w:r>
      <w:r w:rsidR="002D5149">
        <w:rPr>
          <w:b/>
          <w:sz w:val="36"/>
          <w:szCs w:val="24"/>
        </w:rPr>
        <w:t>2</w:t>
      </w:r>
      <w:r w:rsidR="007B3D6D">
        <w:rPr>
          <w:b/>
          <w:sz w:val="36"/>
          <w:szCs w:val="24"/>
        </w:rPr>
        <w:t>)</w:t>
      </w:r>
      <w:r w:rsidRPr="009716F3">
        <w:rPr>
          <w:b/>
          <w:sz w:val="36"/>
          <w:szCs w:val="24"/>
        </w:rPr>
        <w:t xml:space="preserve"> </w:t>
      </w:r>
      <w:r w:rsidR="009716F3" w:rsidRPr="009716F3">
        <w:rPr>
          <w:b/>
          <w:sz w:val="36"/>
          <w:szCs w:val="24"/>
        </w:rPr>
        <w:br/>
      </w:r>
      <w:r w:rsidR="007B3D6D" w:rsidRPr="007B3D6D">
        <w:rPr>
          <w:b/>
          <w:szCs w:val="24"/>
        </w:rPr>
        <w:t xml:space="preserve">version </w:t>
      </w:r>
      <w:r w:rsidR="002D5149">
        <w:rPr>
          <w:b/>
          <w:szCs w:val="24"/>
        </w:rPr>
        <w:t>May</w:t>
      </w:r>
      <w:r w:rsidR="00DA6CFB">
        <w:rPr>
          <w:b/>
          <w:szCs w:val="24"/>
        </w:rPr>
        <w:t xml:space="preserve"> </w:t>
      </w:r>
      <w:r w:rsidR="00624FB5">
        <w:rPr>
          <w:b/>
          <w:szCs w:val="24"/>
        </w:rPr>
        <w:t>3</w:t>
      </w:r>
      <w:r w:rsidR="00AB18CD">
        <w:rPr>
          <w:b/>
          <w:szCs w:val="24"/>
        </w:rPr>
        <w:t>1</w:t>
      </w:r>
      <w:r w:rsidR="00DA6CFB">
        <w:rPr>
          <w:b/>
          <w:szCs w:val="24"/>
        </w:rPr>
        <w:t>, 2021</w:t>
      </w:r>
    </w:p>
    <w:p w14:paraId="18E99F3B" w14:textId="1041ABF1" w:rsidR="00B61DB2" w:rsidRDefault="00B61DB2">
      <w:pPr>
        <w:rPr>
          <w:sz w:val="24"/>
          <w:szCs w:val="24"/>
        </w:rPr>
      </w:pPr>
    </w:p>
    <w:p w14:paraId="426DEAB5" w14:textId="0DD1F766" w:rsidR="0080401E" w:rsidRDefault="0080401E">
      <w:pPr>
        <w:rPr>
          <w:sz w:val="24"/>
          <w:szCs w:val="24"/>
        </w:rPr>
      </w:pPr>
    </w:p>
    <w:p w14:paraId="6D6C5A36" w14:textId="77777777" w:rsidR="0080401E" w:rsidRPr="005A4A9A" w:rsidRDefault="0080401E">
      <w:pPr>
        <w:rPr>
          <w:sz w:val="24"/>
          <w:szCs w:val="24"/>
        </w:rPr>
      </w:pPr>
    </w:p>
    <w:p w14:paraId="558E564D" w14:textId="08EBD6BE" w:rsidR="00B61DB2" w:rsidRPr="00F55B1D" w:rsidRDefault="00F55B1D" w:rsidP="003B760B">
      <w:pPr>
        <w:pBdr>
          <w:top w:val="single" w:sz="8" w:space="1" w:color="auto"/>
          <w:left w:val="single" w:sz="8" w:space="4" w:color="auto"/>
          <w:bottom w:val="single" w:sz="8" w:space="1" w:color="auto"/>
          <w:right w:val="single" w:sz="8" w:space="4" w:color="auto"/>
        </w:pBdr>
        <w:shd w:val="clear" w:color="auto" w:fill="E2EFD9" w:themeFill="accent6" w:themeFillTint="33"/>
        <w:spacing w:after="120" w:line="240" w:lineRule="auto"/>
        <w:jc w:val="center"/>
        <w:rPr>
          <w:b/>
          <w:i/>
          <w:sz w:val="24"/>
          <w:szCs w:val="24"/>
        </w:rPr>
      </w:pPr>
      <w:r w:rsidRPr="009716F3">
        <w:rPr>
          <w:b/>
          <w:i/>
          <w:sz w:val="28"/>
          <w:szCs w:val="24"/>
        </w:rPr>
        <w:t>Citation for</w:t>
      </w:r>
      <w:r w:rsidR="00B61DB2" w:rsidRPr="009716F3">
        <w:rPr>
          <w:b/>
          <w:i/>
          <w:sz w:val="28"/>
          <w:szCs w:val="24"/>
        </w:rPr>
        <w:t xml:space="preserve"> the dataset</w:t>
      </w:r>
    </w:p>
    <w:p w14:paraId="5091A6D5" w14:textId="3A4DD986" w:rsidR="005A4A9A" w:rsidRPr="005A4A9A" w:rsidRDefault="002D5149" w:rsidP="002D5149">
      <w:pPr>
        <w:pBdr>
          <w:top w:val="single" w:sz="8" w:space="1" w:color="auto"/>
          <w:left w:val="single" w:sz="8" w:space="4" w:color="auto"/>
          <w:bottom w:val="single" w:sz="8" w:space="1" w:color="auto"/>
          <w:right w:val="single" w:sz="8" w:space="4" w:color="auto"/>
        </w:pBdr>
        <w:shd w:val="clear" w:color="auto" w:fill="E2EFD9" w:themeFill="accent6" w:themeFillTint="33"/>
        <w:spacing w:after="120" w:line="240" w:lineRule="auto"/>
        <w:jc w:val="both"/>
        <w:rPr>
          <w:sz w:val="24"/>
          <w:szCs w:val="24"/>
        </w:rPr>
      </w:pPr>
      <w:bookmarkStart w:id="0" w:name="_Hlk72345763"/>
      <w:r>
        <w:rPr>
          <w:rFonts w:ascii="Calibri" w:eastAsia="Times New Roman" w:hAnsi="Calibri" w:cs="Calibri"/>
          <w:sz w:val="24"/>
          <w:szCs w:val="24"/>
        </w:rPr>
        <w:t xml:space="preserve">Liesbet Hooghe, </w:t>
      </w:r>
      <w:r w:rsidRPr="002D5149">
        <w:rPr>
          <w:rFonts w:ascii="Calibri" w:eastAsia="Times New Roman" w:hAnsi="Calibri" w:cs="Calibri"/>
          <w:sz w:val="24"/>
          <w:szCs w:val="24"/>
        </w:rPr>
        <w:t>Gary Marks, Tobias Lenz, Jeanine Bezuijen, Besir Ceka, Svet Derderyan</w:t>
      </w:r>
      <w:r>
        <w:rPr>
          <w:rFonts w:ascii="Calibri" w:eastAsia="Times New Roman" w:hAnsi="Calibri" w:cs="Calibri"/>
          <w:sz w:val="24"/>
          <w:szCs w:val="24"/>
        </w:rPr>
        <w:t>.</w:t>
      </w:r>
      <w:r w:rsidRPr="002D5149">
        <w:rPr>
          <w:rFonts w:ascii="Calibri" w:eastAsia="Times New Roman" w:hAnsi="Calibri" w:cs="Calibri"/>
          <w:b/>
          <w:sz w:val="24"/>
          <w:szCs w:val="24"/>
        </w:rPr>
        <w:t xml:space="preserve"> 2017.</w:t>
      </w:r>
      <w:r w:rsidRPr="002D5149">
        <w:rPr>
          <w:rFonts w:ascii="Calibri" w:eastAsia="Times New Roman" w:hAnsi="Calibri" w:cs="Calibri"/>
          <w:i/>
          <w:sz w:val="24"/>
          <w:szCs w:val="24"/>
        </w:rPr>
        <w:t xml:space="preserve"> Measuring International Authority: A Postfunctionalist Theory of Governance.</w:t>
      </w:r>
      <w:bookmarkEnd w:id="0"/>
      <w:r w:rsidRPr="002D5149">
        <w:rPr>
          <w:rFonts w:ascii="Calibri" w:eastAsia="Times New Roman" w:hAnsi="Calibri" w:cs="Calibri"/>
          <w:i/>
          <w:sz w:val="24"/>
          <w:szCs w:val="24"/>
        </w:rPr>
        <w:t xml:space="preserve"> </w:t>
      </w:r>
      <w:r w:rsidRPr="002D5149">
        <w:rPr>
          <w:rFonts w:ascii="Calibri" w:eastAsia="Times New Roman" w:hAnsi="Calibri" w:cs="Calibri"/>
          <w:sz w:val="24"/>
          <w:szCs w:val="24"/>
        </w:rPr>
        <w:t>Oxford: OUP, 888pp.</w:t>
      </w:r>
    </w:p>
    <w:p w14:paraId="5546AAEC" w14:textId="649E5883" w:rsidR="000E2293" w:rsidRDefault="002D5149" w:rsidP="000E2293">
      <w:pPr>
        <w:spacing w:before="120" w:after="120" w:line="240" w:lineRule="auto"/>
        <w:jc w:val="both"/>
        <w:rPr>
          <w:sz w:val="24"/>
          <w:szCs w:val="24"/>
        </w:rPr>
      </w:pPr>
      <w:r w:rsidRPr="002D5149">
        <w:rPr>
          <w:sz w:val="24"/>
          <w:szCs w:val="24"/>
        </w:rPr>
        <w:t xml:space="preserve">The Measure of International Authority (MIA) contains estimates of the </w:t>
      </w:r>
      <w:r w:rsidR="00624FB5">
        <w:rPr>
          <w:sz w:val="24"/>
          <w:szCs w:val="24"/>
        </w:rPr>
        <w:t>D</w:t>
      </w:r>
      <w:r w:rsidRPr="002D5149">
        <w:rPr>
          <w:sz w:val="24"/>
          <w:szCs w:val="24"/>
        </w:rPr>
        <w:t xml:space="preserve">elegation and </w:t>
      </w:r>
      <w:r w:rsidR="00624FB5">
        <w:rPr>
          <w:sz w:val="24"/>
          <w:szCs w:val="24"/>
        </w:rPr>
        <w:t>P</w:t>
      </w:r>
      <w:r w:rsidRPr="002D5149">
        <w:rPr>
          <w:sz w:val="24"/>
          <w:szCs w:val="24"/>
        </w:rPr>
        <w:t>ooling of authority (1950-20</w:t>
      </w:r>
      <w:r>
        <w:rPr>
          <w:sz w:val="24"/>
          <w:szCs w:val="24"/>
        </w:rPr>
        <w:t>19</w:t>
      </w:r>
      <w:r w:rsidRPr="002D5149">
        <w:rPr>
          <w:sz w:val="24"/>
          <w:szCs w:val="24"/>
        </w:rPr>
        <w:t xml:space="preserve">) and policy portfolio for 76 international organizations (1950-2017). </w:t>
      </w:r>
      <w:bookmarkStart w:id="1" w:name="_Hlk56948230"/>
      <w:bookmarkStart w:id="2" w:name="_Toc52107716"/>
      <w:r w:rsidR="00624FB5">
        <w:rPr>
          <w:sz w:val="24"/>
          <w:szCs w:val="24"/>
        </w:rPr>
        <w:t xml:space="preserve">We are </w:t>
      </w:r>
      <w:r w:rsidR="00FE225B">
        <w:rPr>
          <w:sz w:val="24"/>
          <w:szCs w:val="24"/>
        </w:rPr>
        <w:t xml:space="preserve">currently </w:t>
      </w:r>
      <w:r w:rsidR="00624FB5">
        <w:rPr>
          <w:sz w:val="24"/>
          <w:szCs w:val="24"/>
        </w:rPr>
        <w:t xml:space="preserve">extending the measures through 2020. </w:t>
      </w:r>
    </w:p>
    <w:p w14:paraId="0D86AAE9" w14:textId="5CFADD11" w:rsidR="00D318AB" w:rsidRPr="00A62C8A" w:rsidRDefault="00A62C8A" w:rsidP="000E2293">
      <w:pPr>
        <w:spacing w:before="120" w:after="120" w:line="240" w:lineRule="auto"/>
        <w:jc w:val="both"/>
        <w:rPr>
          <w:sz w:val="24"/>
          <w:szCs w:val="24"/>
        </w:rPr>
      </w:pPr>
      <w:r w:rsidRPr="00CB74AA">
        <w:rPr>
          <w:b/>
          <w:bCs/>
          <w:sz w:val="24"/>
          <w:szCs w:val="24"/>
        </w:rPr>
        <w:t xml:space="preserve">This is the codebook for </w:t>
      </w:r>
      <w:r w:rsidR="002D5149">
        <w:rPr>
          <w:b/>
          <w:bCs/>
          <w:sz w:val="24"/>
          <w:szCs w:val="24"/>
        </w:rPr>
        <w:t>MIA</w:t>
      </w:r>
      <w:r w:rsidRPr="00CB74AA">
        <w:rPr>
          <w:b/>
          <w:bCs/>
          <w:sz w:val="24"/>
          <w:szCs w:val="24"/>
        </w:rPr>
        <w:t>-</w:t>
      </w:r>
      <w:r w:rsidR="002D5149">
        <w:rPr>
          <w:b/>
          <w:bCs/>
          <w:sz w:val="24"/>
          <w:szCs w:val="24"/>
        </w:rPr>
        <w:t>Authority</w:t>
      </w:r>
      <w:r w:rsidR="00624FB5">
        <w:rPr>
          <w:b/>
          <w:bCs/>
          <w:sz w:val="24"/>
          <w:szCs w:val="24"/>
        </w:rPr>
        <w:t xml:space="preserve"> that accompanies the dataset DP_Oct 2019.dta</w:t>
      </w:r>
      <w:r w:rsidR="00837680">
        <w:rPr>
          <w:b/>
          <w:bCs/>
          <w:sz w:val="24"/>
          <w:szCs w:val="24"/>
        </w:rPr>
        <w:t>.</w:t>
      </w:r>
    </w:p>
    <w:bookmarkEnd w:id="1"/>
    <w:p w14:paraId="72C61169" w14:textId="7BB67DA3" w:rsidR="003B760B" w:rsidRDefault="00B73B27" w:rsidP="00B73B27">
      <w:pPr>
        <w:spacing w:after="120" w:line="240" w:lineRule="auto"/>
        <w:rPr>
          <w:rFonts w:ascii="Calibri" w:eastAsia="Calibri" w:hAnsi="Calibri" w:cs="Times New Roman"/>
          <w:sz w:val="24"/>
          <w:szCs w:val="24"/>
        </w:rPr>
      </w:pPr>
      <w:r w:rsidRPr="00B73B27">
        <w:rPr>
          <w:rFonts w:ascii="Arial Narrow" w:eastAsia="MS Mincho" w:hAnsi="Arial Narrow" w:cs="Times New Roman"/>
          <w:bCs/>
          <w:sz w:val="24"/>
          <w:szCs w:val="24"/>
          <w:lang w:val="en-GB" w:eastAsia="ja-JP"/>
        </w:rPr>
        <w:t xml:space="preserve">Data available on: </w:t>
      </w:r>
      <w:hyperlink r:id="rId8" w:history="1">
        <w:r w:rsidRPr="00B73B27">
          <w:rPr>
            <w:rFonts w:ascii="Arial Narrow" w:eastAsia="MS Mincho" w:hAnsi="Arial Narrow" w:cs="Times New Roman"/>
            <w:bCs/>
            <w:color w:val="0000FF"/>
            <w:sz w:val="24"/>
            <w:szCs w:val="24"/>
            <w:u w:val="single"/>
            <w:lang w:val="en-GB" w:eastAsia="ja-JP"/>
          </w:rPr>
          <w:t>https://garymarks.web.unc.edu/international-authority/</w:t>
        </w:r>
      </w:hyperlink>
      <w:r w:rsidRPr="00B73B27">
        <w:rPr>
          <w:rFonts w:ascii="Arial Narrow" w:eastAsia="MS Mincho" w:hAnsi="Arial Narrow" w:cs="Times New Roman"/>
          <w:bCs/>
          <w:color w:val="0000FF"/>
          <w:sz w:val="24"/>
          <w:szCs w:val="24"/>
          <w:u w:val="single"/>
          <w:lang w:val="en-GB" w:eastAsia="ja-JP"/>
        </w:rPr>
        <w:br/>
      </w:r>
    </w:p>
    <w:sdt>
      <w:sdtPr>
        <w:rPr>
          <w:rFonts w:asciiTheme="minorHAnsi" w:eastAsia="PMingLiU" w:hAnsiTheme="minorHAnsi" w:cstheme="minorBidi"/>
          <w:color w:val="auto"/>
          <w:sz w:val="22"/>
          <w:szCs w:val="22"/>
        </w:rPr>
        <w:id w:val="883143110"/>
        <w:docPartObj>
          <w:docPartGallery w:val="Table of Contents"/>
          <w:docPartUnique/>
        </w:docPartObj>
      </w:sdtPr>
      <w:sdtEndPr>
        <w:rPr>
          <w:b/>
          <w:bCs/>
          <w:noProof/>
        </w:rPr>
      </w:sdtEndPr>
      <w:sdtContent>
        <w:p w14:paraId="5EC9C028" w14:textId="3B4AB132" w:rsidR="003B760B" w:rsidRDefault="003B760B">
          <w:pPr>
            <w:pStyle w:val="TOCHeading"/>
          </w:pPr>
          <w:r>
            <w:t>Contents</w:t>
          </w:r>
        </w:p>
        <w:p w14:paraId="58C8ADBE" w14:textId="33271DE3" w:rsidR="00837680" w:rsidRDefault="003B760B">
          <w:pPr>
            <w:pStyle w:val="TOC1"/>
            <w:rPr>
              <w:rFonts w:eastAsiaTheme="minorEastAsia" w:cstheme="minorBidi"/>
              <w:b w:val="0"/>
              <w:bCs w:val="0"/>
              <w:color w:val="auto"/>
              <w:sz w:val="22"/>
              <w:szCs w:val="22"/>
            </w:rPr>
          </w:pPr>
          <w:r w:rsidRPr="009D3937">
            <w:rPr>
              <w:noProof w:val="0"/>
            </w:rPr>
            <w:fldChar w:fldCharType="begin"/>
          </w:r>
          <w:r w:rsidRPr="009D3937">
            <w:instrText xml:space="preserve"> TOC \o "1-3" \h \z \u </w:instrText>
          </w:r>
          <w:r w:rsidRPr="009D3937">
            <w:rPr>
              <w:noProof w:val="0"/>
            </w:rPr>
            <w:fldChar w:fldCharType="separate"/>
          </w:r>
          <w:hyperlink w:anchor="_Toc73386183" w:history="1">
            <w:r w:rsidR="00837680" w:rsidRPr="00EF76A9">
              <w:rPr>
                <w:rStyle w:val="Hyperlink"/>
                <w:rFonts w:ascii="Calibri Light" w:eastAsia="Times New Roman" w:hAnsi="Calibri Light" w:cs="Times New Roman"/>
              </w:rPr>
              <w:t>Table 1: MIA datasets</w:t>
            </w:r>
            <w:r w:rsidR="00837680">
              <w:rPr>
                <w:webHidden/>
              </w:rPr>
              <w:tab/>
            </w:r>
            <w:r w:rsidR="00837680">
              <w:rPr>
                <w:webHidden/>
              </w:rPr>
              <w:fldChar w:fldCharType="begin"/>
            </w:r>
            <w:r w:rsidR="00837680">
              <w:rPr>
                <w:webHidden/>
              </w:rPr>
              <w:instrText xml:space="preserve"> PAGEREF _Toc73386183 \h </w:instrText>
            </w:r>
            <w:r w:rsidR="00837680">
              <w:rPr>
                <w:webHidden/>
              </w:rPr>
            </w:r>
            <w:r w:rsidR="00837680">
              <w:rPr>
                <w:webHidden/>
              </w:rPr>
              <w:fldChar w:fldCharType="separate"/>
            </w:r>
            <w:r w:rsidR="00837680">
              <w:rPr>
                <w:webHidden/>
              </w:rPr>
              <w:t>2</w:t>
            </w:r>
            <w:r w:rsidR="00837680">
              <w:rPr>
                <w:webHidden/>
              </w:rPr>
              <w:fldChar w:fldCharType="end"/>
            </w:r>
          </w:hyperlink>
        </w:p>
        <w:p w14:paraId="25BE2A11" w14:textId="01B2F6D7" w:rsidR="00837680" w:rsidRDefault="000B54D1">
          <w:pPr>
            <w:pStyle w:val="TOC1"/>
            <w:rPr>
              <w:rFonts w:eastAsiaTheme="minorEastAsia" w:cstheme="minorBidi"/>
              <w:b w:val="0"/>
              <w:bCs w:val="0"/>
              <w:color w:val="auto"/>
              <w:sz w:val="22"/>
              <w:szCs w:val="22"/>
            </w:rPr>
          </w:pPr>
          <w:hyperlink w:anchor="_Toc73386184" w:history="1">
            <w:r w:rsidR="00837680" w:rsidRPr="00EF76A9">
              <w:rPr>
                <w:rStyle w:val="Hyperlink"/>
              </w:rPr>
              <w:t>Unit of analysis</w:t>
            </w:r>
            <w:r w:rsidR="00837680">
              <w:rPr>
                <w:webHidden/>
              </w:rPr>
              <w:tab/>
            </w:r>
            <w:r w:rsidR="00837680">
              <w:rPr>
                <w:webHidden/>
              </w:rPr>
              <w:fldChar w:fldCharType="begin"/>
            </w:r>
            <w:r w:rsidR="00837680">
              <w:rPr>
                <w:webHidden/>
              </w:rPr>
              <w:instrText xml:space="preserve"> PAGEREF _Toc73386184 \h </w:instrText>
            </w:r>
            <w:r w:rsidR="00837680">
              <w:rPr>
                <w:webHidden/>
              </w:rPr>
            </w:r>
            <w:r w:rsidR="00837680">
              <w:rPr>
                <w:webHidden/>
              </w:rPr>
              <w:fldChar w:fldCharType="separate"/>
            </w:r>
            <w:r w:rsidR="00837680">
              <w:rPr>
                <w:webHidden/>
              </w:rPr>
              <w:t>3</w:t>
            </w:r>
            <w:r w:rsidR="00837680">
              <w:rPr>
                <w:webHidden/>
              </w:rPr>
              <w:fldChar w:fldCharType="end"/>
            </w:r>
          </w:hyperlink>
        </w:p>
        <w:p w14:paraId="0B609210" w14:textId="2853B64F" w:rsidR="00837680" w:rsidRDefault="000B54D1">
          <w:pPr>
            <w:pStyle w:val="TOC1"/>
            <w:rPr>
              <w:rFonts w:eastAsiaTheme="minorEastAsia" w:cstheme="minorBidi"/>
              <w:b w:val="0"/>
              <w:bCs w:val="0"/>
              <w:color w:val="auto"/>
              <w:sz w:val="22"/>
              <w:szCs w:val="22"/>
            </w:rPr>
          </w:pPr>
          <w:hyperlink w:anchor="_Toc73386185" w:history="1">
            <w:r w:rsidR="00837680" w:rsidRPr="00EF76A9">
              <w:rPr>
                <w:rStyle w:val="Hyperlink"/>
              </w:rPr>
              <w:t>Types of IOs: task-specific vs. general purpose</w:t>
            </w:r>
            <w:r w:rsidR="00837680">
              <w:rPr>
                <w:webHidden/>
              </w:rPr>
              <w:tab/>
            </w:r>
            <w:r w:rsidR="00837680">
              <w:rPr>
                <w:webHidden/>
              </w:rPr>
              <w:fldChar w:fldCharType="begin"/>
            </w:r>
            <w:r w:rsidR="00837680">
              <w:rPr>
                <w:webHidden/>
              </w:rPr>
              <w:instrText xml:space="preserve"> PAGEREF _Toc73386185 \h </w:instrText>
            </w:r>
            <w:r w:rsidR="00837680">
              <w:rPr>
                <w:webHidden/>
              </w:rPr>
            </w:r>
            <w:r w:rsidR="00837680">
              <w:rPr>
                <w:webHidden/>
              </w:rPr>
              <w:fldChar w:fldCharType="separate"/>
            </w:r>
            <w:r w:rsidR="00837680">
              <w:rPr>
                <w:webHidden/>
              </w:rPr>
              <w:t>3</w:t>
            </w:r>
            <w:r w:rsidR="00837680">
              <w:rPr>
                <w:webHidden/>
              </w:rPr>
              <w:fldChar w:fldCharType="end"/>
            </w:r>
          </w:hyperlink>
        </w:p>
        <w:p w14:paraId="12D03905" w14:textId="45FF3491" w:rsidR="00837680" w:rsidRDefault="000B54D1">
          <w:pPr>
            <w:pStyle w:val="TOC1"/>
            <w:rPr>
              <w:rFonts w:eastAsiaTheme="minorEastAsia" w:cstheme="minorBidi"/>
              <w:b w:val="0"/>
              <w:bCs w:val="0"/>
              <w:color w:val="auto"/>
              <w:sz w:val="22"/>
              <w:szCs w:val="22"/>
            </w:rPr>
          </w:pPr>
          <w:hyperlink w:anchor="_Toc73386186" w:history="1">
            <w:r w:rsidR="00837680" w:rsidRPr="00EF76A9">
              <w:rPr>
                <w:rStyle w:val="Hyperlink"/>
              </w:rPr>
              <w:t>Authority: delegation and pooling</w:t>
            </w:r>
            <w:r w:rsidR="00837680">
              <w:rPr>
                <w:webHidden/>
              </w:rPr>
              <w:tab/>
            </w:r>
            <w:r w:rsidR="00837680">
              <w:rPr>
                <w:webHidden/>
              </w:rPr>
              <w:fldChar w:fldCharType="begin"/>
            </w:r>
            <w:r w:rsidR="00837680">
              <w:rPr>
                <w:webHidden/>
              </w:rPr>
              <w:instrText xml:space="preserve"> PAGEREF _Toc73386186 \h </w:instrText>
            </w:r>
            <w:r w:rsidR="00837680">
              <w:rPr>
                <w:webHidden/>
              </w:rPr>
            </w:r>
            <w:r w:rsidR="00837680">
              <w:rPr>
                <w:webHidden/>
              </w:rPr>
              <w:fldChar w:fldCharType="separate"/>
            </w:r>
            <w:r w:rsidR="00837680">
              <w:rPr>
                <w:webHidden/>
              </w:rPr>
              <w:t>4</w:t>
            </w:r>
            <w:r w:rsidR="00837680">
              <w:rPr>
                <w:webHidden/>
              </w:rPr>
              <w:fldChar w:fldCharType="end"/>
            </w:r>
          </w:hyperlink>
        </w:p>
        <w:p w14:paraId="59283A0D" w14:textId="601EEA23" w:rsidR="00837680" w:rsidRPr="00837680" w:rsidRDefault="000B54D1">
          <w:pPr>
            <w:pStyle w:val="TOC2"/>
            <w:tabs>
              <w:tab w:val="right" w:leader="dot" w:pos="9350"/>
            </w:tabs>
            <w:rPr>
              <w:rFonts w:eastAsiaTheme="minorEastAsia"/>
              <w:noProof/>
              <w:color w:val="538135" w:themeColor="accent6" w:themeShade="BF"/>
            </w:rPr>
          </w:pPr>
          <w:hyperlink w:anchor="_Toc73386187" w:history="1">
            <w:r w:rsidR="00837680" w:rsidRPr="00837680">
              <w:rPr>
                <w:rStyle w:val="Hyperlink"/>
                <w:b/>
                <w:bCs/>
                <w:i/>
                <w:iCs/>
                <w:noProof/>
                <w:color w:val="538135" w:themeColor="accent6" w:themeShade="BF"/>
              </w:rPr>
              <w:t>Delegation</w:t>
            </w:r>
            <w:r w:rsidR="00837680" w:rsidRPr="00837680">
              <w:rPr>
                <w:noProof/>
                <w:webHidden/>
                <w:color w:val="538135" w:themeColor="accent6" w:themeShade="BF"/>
              </w:rPr>
              <w:tab/>
            </w:r>
            <w:r w:rsidR="00837680" w:rsidRPr="00837680">
              <w:rPr>
                <w:noProof/>
                <w:webHidden/>
                <w:color w:val="538135" w:themeColor="accent6" w:themeShade="BF"/>
              </w:rPr>
              <w:fldChar w:fldCharType="begin"/>
            </w:r>
            <w:r w:rsidR="00837680" w:rsidRPr="00837680">
              <w:rPr>
                <w:noProof/>
                <w:webHidden/>
                <w:color w:val="538135" w:themeColor="accent6" w:themeShade="BF"/>
              </w:rPr>
              <w:instrText xml:space="preserve"> PAGEREF _Toc73386187 \h </w:instrText>
            </w:r>
            <w:r w:rsidR="00837680" w:rsidRPr="00837680">
              <w:rPr>
                <w:noProof/>
                <w:webHidden/>
                <w:color w:val="538135" w:themeColor="accent6" w:themeShade="BF"/>
              </w:rPr>
            </w:r>
            <w:r w:rsidR="00837680" w:rsidRPr="00837680">
              <w:rPr>
                <w:noProof/>
                <w:webHidden/>
                <w:color w:val="538135" w:themeColor="accent6" w:themeShade="BF"/>
              </w:rPr>
              <w:fldChar w:fldCharType="separate"/>
            </w:r>
            <w:r w:rsidR="00837680" w:rsidRPr="00837680">
              <w:rPr>
                <w:noProof/>
                <w:webHidden/>
                <w:color w:val="538135" w:themeColor="accent6" w:themeShade="BF"/>
              </w:rPr>
              <w:t>4</w:t>
            </w:r>
            <w:r w:rsidR="00837680" w:rsidRPr="00837680">
              <w:rPr>
                <w:noProof/>
                <w:webHidden/>
                <w:color w:val="538135" w:themeColor="accent6" w:themeShade="BF"/>
              </w:rPr>
              <w:fldChar w:fldCharType="end"/>
            </w:r>
          </w:hyperlink>
        </w:p>
        <w:p w14:paraId="7747D844" w14:textId="7E9AFFF2" w:rsidR="00837680" w:rsidRPr="00837680" w:rsidRDefault="000B54D1">
          <w:pPr>
            <w:pStyle w:val="TOC2"/>
            <w:tabs>
              <w:tab w:val="right" w:leader="dot" w:pos="9350"/>
            </w:tabs>
            <w:rPr>
              <w:rFonts w:eastAsiaTheme="minorEastAsia"/>
              <w:noProof/>
              <w:color w:val="538135" w:themeColor="accent6" w:themeShade="BF"/>
            </w:rPr>
          </w:pPr>
          <w:hyperlink w:anchor="_Toc73386188" w:history="1">
            <w:r w:rsidR="00837680" w:rsidRPr="00837680">
              <w:rPr>
                <w:rStyle w:val="Hyperlink"/>
                <w:b/>
                <w:bCs/>
                <w:i/>
                <w:iCs/>
                <w:noProof/>
                <w:color w:val="538135" w:themeColor="accent6" w:themeShade="BF"/>
              </w:rPr>
              <w:t>Pooling</w:t>
            </w:r>
            <w:r w:rsidR="00837680" w:rsidRPr="00837680">
              <w:rPr>
                <w:noProof/>
                <w:webHidden/>
                <w:color w:val="538135" w:themeColor="accent6" w:themeShade="BF"/>
              </w:rPr>
              <w:tab/>
            </w:r>
            <w:r w:rsidR="00837680" w:rsidRPr="00837680">
              <w:rPr>
                <w:noProof/>
                <w:webHidden/>
                <w:color w:val="538135" w:themeColor="accent6" w:themeShade="BF"/>
              </w:rPr>
              <w:fldChar w:fldCharType="begin"/>
            </w:r>
            <w:r w:rsidR="00837680" w:rsidRPr="00837680">
              <w:rPr>
                <w:noProof/>
                <w:webHidden/>
                <w:color w:val="538135" w:themeColor="accent6" w:themeShade="BF"/>
              </w:rPr>
              <w:instrText xml:space="preserve"> PAGEREF _Toc73386188 \h </w:instrText>
            </w:r>
            <w:r w:rsidR="00837680" w:rsidRPr="00837680">
              <w:rPr>
                <w:noProof/>
                <w:webHidden/>
                <w:color w:val="538135" w:themeColor="accent6" w:themeShade="BF"/>
              </w:rPr>
            </w:r>
            <w:r w:rsidR="00837680" w:rsidRPr="00837680">
              <w:rPr>
                <w:noProof/>
                <w:webHidden/>
                <w:color w:val="538135" w:themeColor="accent6" w:themeShade="BF"/>
              </w:rPr>
              <w:fldChar w:fldCharType="separate"/>
            </w:r>
            <w:r w:rsidR="00837680" w:rsidRPr="00837680">
              <w:rPr>
                <w:noProof/>
                <w:webHidden/>
                <w:color w:val="538135" w:themeColor="accent6" w:themeShade="BF"/>
              </w:rPr>
              <w:t>5</w:t>
            </w:r>
            <w:r w:rsidR="00837680" w:rsidRPr="00837680">
              <w:rPr>
                <w:noProof/>
                <w:webHidden/>
                <w:color w:val="538135" w:themeColor="accent6" w:themeShade="BF"/>
              </w:rPr>
              <w:fldChar w:fldCharType="end"/>
            </w:r>
          </w:hyperlink>
        </w:p>
        <w:p w14:paraId="1A4096DA" w14:textId="5D30EE4E" w:rsidR="00837680" w:rsidRPr="00837680" w:rsidRDefault="000B54D1">
          <w:pPr>
            <w:pStyle w:val="TOC2"/>
            <w:tabs>
              <w:tab w:val="right" w:leader="dot" w:pos="9350"/>
            </w:tabs>
            <w:rPr>
              <w:rFonts w:eastAsiaTheme="minorEastAsia"/>
              <w:noProof/>
              <w:color w:val="538135" w:themeColor="accent6" w:themeShade="BF"/>
            </w:rPr>
          </w:pPr>
          <w:hyperlink w:anchor="_Toc73386189" w:history="1">
            <w:r w:rsidR="00837680" w:rsidRPr="00837680">
              <w:rPr>
                <w:rStyle w:val="Hyperlink"/>
                <w:rFonts w:cstheme="majorHAnsi"/>
                <w:b/>
                <w:bCs/>
                <w:i/>
                <w:iCs/>
                <w:noProof/>
                <w:color w:val="538135" w:themeColor="accent6" w:themeShade="BF"/>
              </w:rPr>
              <w:t>Calculation</w:t>
            </w:r>
            <w:r w:rsidR="00837680" w:rsidRPr="00837680">
              <w:rPr>
                <w:noProof/>
                <w:webHidden/>
                <w:color w:val="538135" w:themeColor="accent6" w:themeShade="BF"/>
              </w:rPr>
              <w:tab/>
            </w:r>
            <w:r w:rsidR="00837680" w:rsidRPr="00837680">
              <w:rPr>
                <w:noProof/>
                <w:webHidden/>
                <w:color w:val="538135" w:themeColor="accent6" w:themeShade="BF"/>
              </w:rPr>
              <w:fldChar w:fldCharType="begin"/>
            </w:r>
            <w:r w:rsidR="00837680" w:rsidRPr="00837680">
              <w:rPr>
                <w:noProof/>
                <w:webHidden/>
                <w:color w:val="538135" w:themeColor="accent6" w:themeShade="BF"/>
              </w:rPr>
              <w:instrText xml:space="preserve"> PAGEREF _Toc73386189 \h </w:instrText>
            </w:r>
            <w:r w:rsidR="00837680" w:rsidRPr="00837680">
              <w:rPr>
                <w:noProof/>
                <w:webHidden/>
                <w:color w:val="538135" w:themeColor="accent6" w:themeShade="BF"/>
              </w:rPr>
            </w:r>
            <w:r w:rsidR="00837680" w:rsidRPr="00837680">
              <w:rPr>
                <w:noProof/>
                <w:webHidden/>
                <w:color w:val="538135" w:themeColor="accent6" w:themeShade="BF"/>
              </w:rPr>
              <w:fldChar w:fldCharType="separate"/>
            </w:r>
            <w:r w:rsidR="00837680" w:rsidRPr="00837680">
              <w:rPr>
                <w:noProof/>
                <w:webHidden/>
                <w:color w:val="538135" w:themeColor="accent6" w:themeShade="BF"/>
              </w:rPr>
              <w:t>6</w:t>
            </w:r>
            <w:r w:rsidR="00837680" w:rsidRPr="00837680">
              <w:rPr>
                <w:noProof/>
                <w:webHidden/>
                <w:color w:val="538135" w:themeColor="accent6" w:themeShade="BF"/>
              </w:rPr>
              <w:fldChar w:fldCharType="end"/>
            </w:r>
          </w:hyperlink>
        </w:p>
        <w:p w14:paraId="3AE7DD45" w14:textId="03A6E084" w:rsidR="00837680" w:rsidRDefault="000B54D1">
          <w:pPr>
            <w:pStyle w:val="TOC1"/>
            <w:rPr>
              <w:rFonts w:eastAsiaTheme="minorEastAsia" w:cstheme="minorBidi"/>
              <w:b w:val="0"/>
              <w:bCs w:val="0"/>
              <w:color w:val="auto"/>
              <w:sz w:val="22"/>
              <w:szCs w:val="22"/>
            </w:rPr>
          </w:pPr>
          <w:hyperlink w:anchor="_Toc73386190" w:history="1">
            <w:r w:rsidR="00837680" w:rsidRPr="00EF76A9">
              <w:rPr>
                <w:rStyle w:val="Hyperlink"/>
              </w:rPr>
              <w:t>Sources</w:t>
            </w:r>
            <w:r w:rsidR="00837680">
              <w:rPr>
                <w:webHidden/>
              </w:rPr>
              <w:tab/>
            </w:r>
            <w:r w:rsidR="00837680">
              <w:rPr>
                <w:webHidden/>
              </w:rPr>
              <w:fldChar w:fldCharType="begin"/>
            </w:r>
            <w:r w:rsidR="00837680">
              <w:rPr>
                <w:webHidden/>
              </w:rPr>
              <w:instrText xml:space="preserve"> PAGEREF _Toc73386190 \h </w:instrText>
            </w:r>
            <w:r w:rsidR="00837680">
              <w:rPr>
                <w:webHidden/>
              </w:rPr>
            </w:r>
            <w:r w:rsidR="00837680">
              <w:rPr>
                <w:webHidden/>
              </w:rPr>
              <w:fldChar w:fldCharType="separate"/>
            </w:r>
            <w:r w:rsidR="00837680">
              <w:rPr>
                <w:webHidden/>
              </w:rPr>
              <w:t>6</w:t>
            </w:r>
            <w:r w:rsidR="00837680">
              <w:rPr>
                <w:webHidden/>
              </w:rPr>
              <w:fldChar w:fldCharType="end"/>
            </w:r>
          </w:hyperlink>
        </w:p>
        <w:p w14:paraId="6C20831F" w14:textId="0D6779B3" w:rsidR="00837680" w:rsidRDefault="000B54D1">
          <w:pPr>
            <w:pStyle w:val="TOC1"/>
            <w:rPr>
              <w:rFonts w:eastAsiaTheme="minorEastAsia" w:cstheme="minorBidi"/>
              <w:b w:val="0"/>
              <w:bCs w:val="0"/>
              <w:color w:val="auto"/>
              <w:sz w:val="22"/>
              <w:szCs w:val="22"/>
            </w:rPr>
          </w:pPr>
          <w:hyperlink w:anchor="_Toc73386191" w:history="1">
            <w:r w:rsidR="00837680" w:rsidRPr="00EF76A9">
              <w:rPr>
                <w:rStyle w:val="Hyperlink"/>
              </w:rPr>
              <w:t>Table 2: Explanation of entries in excel/stata file</w:t>
            </w:r>
            <w:r w:rsidR="00837680">
              <w:rPr>
                <w:webHidden/>
              </w:rPr>
              <w:tab/>
            </w:r>
            <w:r w:rsidR="00837680">
              <w:rPr>
                <w:webHidden/>
              </w:rPr>
              <w:fldChar w:fldCharType="begin"/>
            </w:r>
            <w:r w:rsidR="00837680">
              <w:rPr>
                <w:webHidden/>
              </w:rPr>
              <w:instrText xml:space="preserve"> PAGEREF _Toc73386191 \h </w:instrText>
            </w:r>
            <w:r w:rsidR="00837680">
              <w:rPr>
                <w:webHidden/>
              </w:rPr>
            </w:r>
            <w:r w:rsidR="00837680">
              <w:rPr>
                <w:webHidden/>
              </w:rPr>
              <w:fldChar w:fldCharType="separate"/>
            </w:r>
            <w:r w:rsidR="00837680">
              <w:rPr>
                <w:webHidden/>
              </w:rPr>
              <w:t>7</w:t>
            </w:r>
            <w:r w:rsidR="00837680">
              <w:rPr>
                <w:webHidden/>
              </w:rPr>
              <w:fldChar w:fldCharType="end"/>
            </w:r>
          </w:hyperlink>
        </w:p>
        <w:p w14:paraId="36531B0C" w14:textId="69ED16B8" w:rsidR="00837680" w:rsidRDefault="000B54D1">
          <w:pPr>
            <w:pStyle w:val="TOC1"/>
            <w:rPr>
              <w:rFonts w:eastAsiaTheme="minorEastAsia" w:cstheme="minorBidi"/>
              <w:b w:val="0"/>
              <w:bCs w:val="0"/>
              <w:color w:val="auto"/>
              <w:sz w:val="22"/>
              <w:szCs w:val="22"/>
            </w:rPr>
          </w:pPr>
          <w:hyperlink w:anchor="_Toc73386192" w:history="1">
            <w:r w:rsidR="00837680" w:rsidRPr="00EF76A9">
              <w:rPr>
                <w:rStyle w:val="Hyperlink"/>
              </w:rPr>
              <w:t>Table 3: IO acronym, COW ID, year-rows in dataset</w:t>
            </w:r>
            <w:r w:rsidR="00837680">
              <w:rPr>
                <w:webHidden/>
              </w:rPr>
              <w:tab/>
            </w:r>
            <w:r w:rsidR="00837680">
              <w:rPr>
                <w:webHidden/>
              </w:rPr>
              <w:fldChar w:fldCharType="begin"/>
            </w:r>
            <w:r w:rsidR="00837680">
              <w:rPr>
                <w:webHidden/>
              </w:rPr>
              <w:instrText xml:space="preserve"> PAGEREF _Toc73386192 \h </w:instrText>
            </w:r>
            <w:r w:rsidR="00837680">
              <w:rPr>
                <w:webHidden/>
              </w:rPr>
            </w:r>
            <w:r w:rsidR="00837680">
              <w:rPr>
                <w:webHidden/>
              </w:rPr>
              <w:fldChar w:fldCharType="separate"/>
            </w:r>
            <w:r w:rsidR="00837680">
              <w:rPr>
                <w:webHidden/>
              </w:rPr>
              <w:t>10</w:t>
            </w:r>
            <w:r w:rsidR="00837680">
              <w:rPr>
                <w:webHidden/>
              </w:rPr>
              <w:fldChar w:fldCharType="end"/>
            </w:r>
          </w:hyperlink>
        </w:p>
        <w:p w14:paraId="7CDDBA16" w14:textId="2D416CA8" w:rsidR="003B760B" w:rsidRDefault="003B760B">
          <w:r w:rsidRPr="009D3937">
            <w:rPr>
              <w:b/>
              <w:bCs/>
              <w:noProof/>
              <w:color w:val="538135" w:themeColor="accent6" w:themeShade="BF"/>
              <w:sz w:val="28"/>
              <w:szCs w:val="28"/>
            </w:rPr>
            <w:fldChar w:fldCharType="end"/>
          </w:r>
        </w:p>
      </w:sdtContent>
    </w:sdt>
    <w:p w14:paraId="36F2D1CE" w14:textId="77777777" w:rsidR="003B760B" w:rsidRDefault="003B760B" w:rsidP="00D318AB">
      <w:pPr>
        <w:spacing w:after="120" w:line="240" w:lineRule="auto"/>
        <w:jc w:val="both"/>
        <w:rPr>
          <w:rFonts w:ascii="Calibri" w:eastAsia="Calibri" w:hAnsi="Calibri" w:cs="Times New Roman"/>
          <w:sz w:val="24"/>
          <w:szCs w:val="24"/>
        </w:rPr>
      </w:pPr>
    </w:p>
    <w:p w14:paraId="5591338D" w14:textId="77777777" w:rsidR="003B760B" w:rsidRDefault="003B760B">
      <w:pPr>
        <w:rPr>
          <w:rFonts w:ascii="Calibri Light" w:eastAsia="Times New Roman" w:hAnsi="Calibri Light" w:cs="Times New Roman"/>
          <w:b/>
          <w:bCs/>
          <w:color w:val="538135" w:themeColor="accent6" w:themeShade="BF"/>
          <w:sz w:val="28"/>
          <w:szCs w:val="28"/>
        </w:rPr>
      </w:pPr>
      <w:r>
        <w:rPr>
          <w:rFonts w:ascii="Calibri Light" w:eastAsia="Times New Roman" w:hAnsi="Calibri Light" w:cs="Times New Roman"/>
          <w:b/>
          <w:bCs/>
          <w:color w:val="538135" w:themeColor="accent6" w:themeShade="BF"/>
          <w:sz w:val="28"/>
          <w:szCs w:val="28"/>
        </w:rPr>
        <w:br w:type="page"/>
      </w:r>
    </w:p>
    <w:p w14:paraId="7C4A841F" w14:textId="1ABE731B" w:rsidR="00D318AB" w:rsidRPr="009D3937" w:rsidRDefault="00D318AB" w:rsidP="003B760B">
      <w:pPr>
        <w:pStyle w:val="Heading1"/>
        <w:rPr>
          <w:rFonts w:ascii="Calibri Light" w:eastAsia="Times New Roman" w:hAnsi="Calibri Light" w:cs="Times New Roman"/>
          <w:b/>
          <w:bCs/>
          <w:color w:val="538135" w:themeColor="accent6" w:themeShade="BF"/>
        </w:rPr>
      </w:pPr>
      <w:bookmarkStart w:id="3" w:name="_Toc73386183"/>
      <w:r w:rsidRPr="009D3937">
        <w:rPr>
          <w:rFonts w:ascii="Calibri Light" w:eastAsia="Times New Roman" w:hAnsi="Calibri Light" w:cs="Times New Roman"/>
          <w:b/>
          <w:bCs/>
          <w:color w:val="538135" w:themeColor="accent6" w:themeShade="BF"/>
        </w:rPr>
        <w:lastRenderedPageBreak/>
        <w:t xml:space="preserve">Table 1: </w:t>
      </w:r>
      <w:bookmarkStart w:id="4" w:name="_Hlk50560193"/>
      <w:r w:rsidR="0080401E" w:rsidRPr="009D3937">
        <w:rPr>
          <w:rFonts w:ascii="Calibri Light" w:eastAsia="Times New Roman" w:hAnsi="Calibri Light" w:cs="Times New Roman"/>
          <w:b/>
          <w:bCs/>
          <w:color w:val="538135" w:themeColor="accent6" w:themeShade="BF"/>
        </w:rPr>
        <w:t>MIA</w:t>
      </w:r>
      <w:r w:rsidRPr="009D3937">
        <w:rPr>
          <w:rFonts w:ascii="Calibri Light" w:eastAsia="Times New Roman" w:hAnsi="Calibri Light" w:cs="Times New Roman"/>
          <w:b/>
          <w:bCs/>
          <w:color w:val="538135" w:themeColor="accent6" w:themeShade="BF"/>
        </w:rPr>
        <w:t xml:space="preserve"> datasets</w:t>
      </w:r>
      <w:bookmarkEnd w:id="2"/>
      <w:bookmarkEnd w:id="3"/>
    </w:p>
    <w:p w14:paraId="17528DDB" w14:textId="77777777" w:rsidR="00B81347" w:rsidRPr="009D3937" w:rsidRDefault="00B81347" w:rsidP="00B81347">
      <w:pPr>
        <w:rPr>
          <w:sz w:val="24"/>
          <w:szCs w:val="24"/>
        </w:rPr>
      </w:pPr>
    </w:p>
    <w:tbl>
      <w:tblPr>
        <w:tblStyle w:val="TableGrid1"/>
        <w:tblW w:w="9265" w:type="dxa"/>
        <w:tblInd w:w="-90"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520"/>
        <w:gridCol w:w="6745"/>
      </w:tblGrid>
      <w:tr w:rsidR="00D318AB" w:rsidRPr="00D318AB" w14:paraId="4D5EFBB5" w14:textId="77777777" w:rsidTr="000F445F">
        <w:tc>
          <w:tcPr>
            <w:tcW w:w="2520" w:type="dxa"/>
            <w:shd w:val="clear" w:color="auto" w:fill="E2EFD9" w:themeFill="accent6" w:themeFillTint="33"/>
          </w:tcPr>
          <w:bookmarkEnd w:id="4"/>
          <w:p w14:paraId="51BB986A" w14:textId="4280E731" w:rsidR="00D318AB" w:rsidRPr="003B760B" w:rsidRDefault="002D5149" w:rsidP="00D318AB">
            <w:pPr>
              <w:keepNext/>
              <w:keepLines/>
              <w:spacing w:before="120" w:after="120"/>
              <w:jc w:val="both"/>
              <w:rPr>
                <w:rFonts w:ascii="Calibri" w:hAnsi="Calibri" w:cs="Times New Roman"/>
                <w:b/>
                <w:bCs/>
                <w:sz w:val="24"/>
                <w:szCs w:val="24"/>
              </w:rPr>
            </w:pPr>
            <w:r>
              <w:rPr>
                <w:rFonts w:ascii="Calibri" w:hAnsi="Calibri" w:cs="Times New Roman"/>
                <w:b/>
                <w:bCs/>
                <w:sz w:val="24"/>
                <w:szCs w:val="24"/>
              </w:rPr>
              <w:t>MIA</w:t>
            </w:r>
            <w:r w:rsidR="00D318AB" w:rsidRPr="003B760B">
              <w:rPr>
                <w:rFonts w:ascii="Calibri" w:hAnsi="Calibri" w:cs="Times New Roman"/>
                <w:b/>
                <w:bCs/>
                <w:sz w:val="24"/>
                <w:szCs w:val="24"/>
              </w:rPr>
              <w:t>-</w:t>
            </w:r>
            <w:r>
              <w:rPr>
                <w:rFonts w:ascii="Calibri" w:hAnsi="Calibri" w:cs="Times New Roman"/>
                <w:b/>
                <w:bCs/>
                <w:sz w:val="24"/>
                <w:szCs w:val="24"/>
              </w:rPr>
              <w:t>Authority</w:t>
            </w:r>
          </w:p>
        </w:tc>
        <w:tc>
          <w:tcPr>
            <w:tcW w:w="6745" w:type="dxa"/>
            <w:shd w:val="clear" w:color="auto" w:fill="E2EFD9" w:themeFill="accent6" w:themeFillTint="33"/>
          </w:tcPr>
          <w:p w14:paraId="24D2FDCA" w14:textId="1301D540" w:rsidR="00D318AB" w:rsidRPr="00D318AB" w:rsidRDefault="00D318AB" w:rsidP="00D318AB">
            <w:pPr>
              <w:keepNext/>
              <w:keepLines/>
              <w:spacing w:before="120" w:after="120"/>
              <w:jc w:val="both"/>
              <w:rPr>
                <w:rFonts w:ascii="Calibri" w:hAnsi="Calibri" w:cs="Times New Roman"/>
                <w:sz w:val="24"/>
                <w:szCs w:val="24"/>
              </w:rPr>
            </w:pPr>
            <w:r w:rsidRPr="00D318AB">
              <w:rPr>
                <w:rFonts w:ascii="Calibri" w:hAnsi="Calibri" w:cs="Times New Roman"/>
                <w:sz w:val="24"/>
                <w:szCs w:val="24"/>
              </w:rPr>
              <w:t xml:space="preserve">Annual scores </w:t>
            </w:r>
            <w:r w:rsidR="002D5149">
              <w:rPr>
                <w:rFonts w:ascii="Calibri" w:hAnsi="Calibri" w:cs="Times New Roman"/>
                <w:sz w:val="24"/>
                <w:szCs w:val="24"/>
              </w:rPr>
              <w:t xml:space="preserve">on </w:t>
            </w:r>
            <w:r w:rsidR="00624FB5">
              <w:rPr>
                <w:rFonts w:ascii="Calibri" w:hAnsi="Calibri" w:cs="Times New Roman"/>
                <w:sz w:val="24"/>
                <w:szCs w:val="24"/>
              </w:rPr>
              <w:t>D</w:t>
            </w:r>
            <w:r w:rsidR="002D5149">
              <w:rPr>
                <w:rFonts w:ascii="Calibri" w:hAnsi="Calibri" w:cs="Times New Roman"/>
                <w:sz w:val="24"/>
                <w:szCs w:val="24"/>
              </w:rPr>
              <w:t xml:space="preserve">elegation and </w:t>
            </w:r>
            <w:r w:rsidR="00624FB5">
              <w:rPr>
                <w:rFonts w:ascii="Calibri" w:hAnsi="Calibri" w:cs="Times New Roman"/>
                <w:sz w:val="24"/>
                <w:szCs w:val="24"/>
              </w:rPr>
              <w:t>P</w:t>
            </w:r>
            <w:r w:rsidR="002D5149">
              <w:rPr>
                <w:rFonts w:ascii="Calibri" w:hAnsi="Calibri" w:cs="Times New Roman"/>
                <w:sz w:val="24"/>
                <w:szCs w:val="24"/>
              </w:rPr>
              <w:t xml:space="preserve">ooling </w:t>
            </w:r>
            <w:r w:rsidRPr="00D318AB">
              <w:rPr>
                <w:rFonts w:ascii="Calibri" w:hAnsi="Calibri" w:cs="Times New Roman"/>
                <w:sz w:val="24"/>
                <w:szCs w:val="24"/>
              </w:rPr>
              <w:t xml:space="preserve">for each </w:t>
            </w:r>
            <w:r w:rsidR="002D5149">
              <w:rPr>
                <w:rFonts w:ascii="Calibri" w:hAnsi="Calibri" w:cs="Times New Roman"/>
                <w:sz w:val="24"/>
                <w:szCs w:val="24"/>
              </w:rPr>
              <w:t xml:space="preserve">international governmental organization </w:t>
            </w:r>
            <w:r w:rsidRPr="00D318AB">
              <w:rPr>
                <w:rFonts w:ascii="Calibri" w:hAnsi="Calibri" w:cs="Times New Roman"/>
                <w:sz w:val="24"/>
                <w:szCs w:val="24"/>
              </w:rPr>
              <w:t>from 1950-201</w:t>
            </w:r>
            <w:r w:rsidR="00624FB5">
              <w:rPr>
                <w:rFonts w:ascii="Calibri" w:hAnsi="Calibri" w:cs="Times New Roman"/>
                <w:sz w:val="24"/>
                <w:szCs w:val="24"/>
              </w:rPr>
              <w:t>9</w:t>
            </w:r>
            <w:r w:rsidRPr="00D318AB">
              <w:rPr>
                <w:rFonts w:ascii="Calibri" w:hAnsi="Calibri" w:cs="Times New Roman"/>
                <w:sz w:val="24"/>
                <w:szCs w:val="24"/>
              </w:rPr>
              <w:t>. Each row breaks a</w:t>
            </w:r>
            <w:r w:rsidR="002D5149">
              <w:rPr>
                <w:rFonts w:ascii="Calibri" w:hAnsi="Calibri" w:cs="Times New Roman"/>
                <w:sz w:val="24"/>
                <w:szCs w:val="24"/>
              </w:rPr>
              <w:t>n IO</w:t>
            </w:r>
            <w:r w:rsidRPr="00D318AB">
              <w:rPr>
                <w:rFonts w:ascii="Calibri" w:hAnsi="Calibri" w:cs="Times New Roman"/>
                <w:sz w:val="24"/>
                <w:szCs w:val="24"/>
              </w:rPr>
              <w:t xml:space="preserve">–year down into </w:t>
            </w:r>
            <w:r w:rsidR="002D5149">
              <w:rPr>
                <w:rFonts w:ascii="Calibri" w:hAnsi="Calibri" w:cs="Times New Roman"/>
                <w:sz w:val="24"/>
                <w:szCs w:val="24"/>
              </w:rPr>
              <w:t>delegation</w:t>
            </w:r>
            <w:r w:rsidR="00624FB5">
              <w:rPr>
                <w:rFonts w:ascii="Calibri" w:hAnsi="Calibri" w:cs="Times New Roman"/>
                <w:sz w:val="24"/>
                <w:szCs w:val="24"/>
              </w:rPr>
              <w:t>,</w:t>
            </w:r>
            <w:r w:rsidR="002D5149">
              <w:rPr>
                <w:rFonts w:ascii="Calibri" w:hAnsi="Calibri" w:cs="Times New Roman"/>
                <w:sz w:val="24"/>
                <w:szCs w:val="24"/>
              </w:rPr>
              <w:t xml:space="preserve"> pooling</w:t>
            </w:r>
            <w:r w:rsidR="00624FB5">
              <w:rPr>
                <w:rFonts w:ascii="Calibri" w:hAnsi="Calibri" w:cs="Times New Roman"/>
                <w:sz w:val="24"/>
                <w:szCs w:val="24"/>
              </w:rPr>
              <w:t>, and their</w:t>
            </w:r>
            <w:r w:rsidR="000E2720">
              <w:rPr>
                <w:rFonts w:ascii="Calibri" w:hAnsi="Calibri" w:cs="Times New Roman"/>
                <w:sz w:val="24"/>
                <w:szCs w:val="24"/>
              </w:rPr>
              <w:t xml:space="preserve"> components</w:t>
            </w:r>
            <w:r w:rsidRPr="00D318AB">
              <w:rPr>
                <w:rFonts w:ascii="Calibri" w:hAnsi="Calibri" w:cs="Times New Roman"/>
                <w:sz w:val="24"/>
                <w:szCs w:val="24"/>
              </w:rPr>
              <w:t>.</w:t>
            </w:r>
          </w:p>
        </w:tc>
      </w:tr>
      <w:tr w:rsidR="009E13B5" w:rsidRPr="00D318AB" w14:paraId="18A14E6D" w14:textId="77777777" w:rsidTr="000F445F">
        <w:tc>
          <w:tcPr>
            <w:tcW w:w="2520" w:type="dxa"/>
          </w:tcPr>
          <w:p w14:paraId="7473D405" w14:textId="25E4C9F9" w:rsidR="009E13B5" w:rsidRDefault="009E13B5" w:rsidP="009E13B5">
            <w:pPr>
              <w:keepNext/>
              <w:keepLines/>
              <w:spacing w:after="120"/>
              <w:jc w:val="both"/>
              <w:rPr>
                <w:rFonts w:ascii="Calibri" w:hAnsi="Calibri" w:cs="Times New Roman"/>
                <w:sz w:val="24"/>
                <w:szCs w:val="24"/>
              </w:rPr>
            </w:pPr>
            <w:r>
              <w:rPr>
                <w:rFonts w:ascii="Calibri" w:hAnsi="Calibri" w:cs="Times New Roman"/>
                <w:sz w:val="24"/>
                <w:szCs w:val="24"/>
              </w:rPr>
              <w:t>MIA-Master data</w:t>
            </w:r>
          </w:p>
        </w:tc>
        <w:tc>
          <w:tcPr>
            <w:tcW w:w="6745" w:type="dxa"/>
          </w:tcPr>
          <w:p w14:paraId="1A99C82E" w14:textId="77CC4647" w:rsidR="009E13B5" w:rsidRPr="00D318AB" w:rsidRDefault="009E13B5" w:rsidP="009E13B5">
            <w:pPr>
              <w:keepNext/>
              <w:keepLines/>
              <w:spacing w:after="120"/>
              <w:jc w:val="both"/>
              <w:rPr>
                <w:rFonts w:ascii="Calibri" w:hAnsi="Calibri" w:cs="Times New Roman"/>
                <w:sz w:val="24"/>
                <w:szCs w:val="24"/>
              </w:rPr>
            </w:pPr>
            <w:r w:rsidRPr="009E13B5">
              <w:rPr>
                <w:rFonts w:ascii="Calibri" w:hAnsi="Calibri" w:cs="Times New Roman"/>
                <w:sz w:val="24"/>
                <w:szCs w:val="24"/>
              </w:rPr>
              <w:t>Annual scores for each scoring indicator, which presents the data at the most disaggregated level. The unit of analysis is IO-year-body-decision area-decision stage. Please use this dataset if you would like to compose your own authority indicators.</w:t>
            </w:r>
          </w:p>
        </w:tc>
      </w:tr>
      <w:tr w:rsidR="009E13B5" w:rsidRPr="00D318AB" w14:paraId="316CE405" w14:textId="77777777" w:rsidTr="000F445F">
        <w:tc>
          <w:tcPr>
            <w:tcW w:w="2520" w:type="dxa"/>
            <w:tcBorders>
              <w:top w:val="single" w:sz="4" w:space="0" w:color="auto"/>
              <w:bottom w:val="single" w:sz="4" w:space="0" w:color="auto"/>
            </w:tcBorders>
          </w:tcPr>
          <w:p w14:paraId="456EC651" w14:textId="7C87235B" w:rsidR="009E13B5" w:rsidRDefault="009E13B5" w:rsidP="009E13B5">
            <w:pPr>
              <w:keepNext/>
              <w:keepLines/>
              <w:spacing w:after="120"/>
              <w:jc w:val="both"/>
              <w:rPr>
                <w:rFonts w:ascii="Calibri" w:hAnsi="Calibri" w:cs="Times New Roman"/>
                <w:sz w:val="24"/>
                <w:szCs w:val="24"/>
              </w:rPr>
            </w:pPr>
            <w:r>
              <w:rPr>
                <w:rFonts w:ascii="Calibri" w:hAnsi="Calibri" w:cs="Times New Roman"/>
                <w:sz w:val="24"/>
                <w:szCs w:val="24"/>
              </w:rPr>
              <w:t>MIA IO excel</w:t>
            </w:r>
          </w:p>
        </w:tc>
        <w:tc>
          <w:tcPr>
            <w:tcW w:w="6745" w:type="dxa"/>
            <w:tcBorders>
              <w:top w:val="single" w:sz="4" w:space="0" w:color="auto"/>
              <w:bottom w:val="single" w:sz="4" w:space="0" w:color="auto"/>
            </w:tcBorders>
          </w:tcPr>
          <w:p w14:paraId="45BAFC46" w14:textId="112CFB0E" w:rsidR="009E13B5" w:rsidRPr="00D318AB" w:rsidRDefault="009E13B5" w:rsidP="009E13B5">
            <w:pPr>
              <w:keepNext/>
              <w:keepLines/>
              <w:spacing w:after="120"/>
              <w:jc w:val="both"/>
              <w:rPr>
                <w:rFonts w:ascii="Calibri" w:hAnsi="Calibri" w:cs="Times New Roman"/>
                <w:sz w:val="24"/>
                <w:szCs w:val="24"/>
              </w:rPr>
            </w:pPr>
            <w:r>
              <w:rPr>
                <w:rFonts w:ascii="Calibri" w:hAnsi="Calibri" w:cs="Times New Roman"/>
                <w:sz w:val="24"/>
                <w:szCs w:val="24"/>
              </w:rPr>
              <w:t>IO-specific excel that reports a matrix where the unit of observation is the IO body at a decision stage in a decision area in a year of reform. This is the most complete record of our coding for a particular IO. These IO excel files contain some scoring that is not reflected in the MIA-Master data.</w:t>
            </w:r>
          </w:p>
        </w:tc>
      </w:tr>
      <w:tr w:rsidR="009E13B5" w:rsidRPr="00D318AB" w14:paraId="000F998B" w14:textId="77777777" w:rsidTr="0010139A">
        <w:tc>
          <w:tcPr>
            <w:tcW w:w="2520" w:type="dxa"/>
            <w:tcBorders>
              <w:top w:val="single" w:sz="4" w:space="0" w:color="auto"/>
              <w:bottom w:val="single" w:sz="4" w:space="0" w:color="auto"/>
            </w:tcBorders>
          </w:tcPr>
          <w:p w14:paraId="4ABC7B5C" w14:textId="2B6D77A4" w:rsidR="009E13B5" w:rsidRDefault="009E13B5" w:rsidP="009E13B5">
            <w:pPr>
              <w:keepNext/>
              <w:keepLines/>
              <w:spacing w:after="120"/>
              <w:jc w:val="both"/>
              <w:rPr>
                <w:rFonts w:ascii="Calibri" w:hAnsi="Calibri" w:cs="Times New Roman"/>
                <w:sz w:val="24"/>
                <w:szCs w:val="24"/>
              </w:rPr>
            </w:pPr>
            <w:r>
              <w:rPr>
                <w:rFonts w:ascii="Calibri" w:hAnsi="Calibri" w:cs="Times New Roman"/>
                <w:sz w:val="24"/>
                <w:szCs w:val="24"/>
              </w:rPr>
              <w:t xml:space="preserve">MIA IO profile </w:t>
            </w:r>
          </w:p>
        </w:tc>
        <w:tc>
          <w:tcPr>
            <w:tcW w:w="6745" w:type="dxa"/>
            <w:tcBorders>
              <w:top w:val="single" w:sz="4" w:space="0" w:color="auto"/>
              <w:bottom w:val="single" w:sz="4" w:space="0" w:color="auto"/>
            </w:tcBorders>
          </w:tcPr>
          <w:p w14:paraId="3BD546F3" w14:textId="77BAD1CA" w:rsidR="009E13B5" w:rsidRDefault="009E13B5" w:rsidP="009E13B5">
            <w:pPr>
              <w:keepNext/>
              <w:keepLines/>
              <w:spacing w:after="120"/>
              <w:jc w:val="both"/>
              <w:rPr>
                <w:rFonts w:ascii="Calibri" w:hAnsi="Calibri" w:cs="Times New Roman"/>
                <w:sz w:val="24"/>
                <w:szCs w:val="24"/>
              </w:rPr>
            </w:pPr>
            <w:r>
              <w:rPr>
                <w:rFonts w:ascii="Calibri" w:hAnsi="Calibri" w:cs="Times New Roman"/>
                <w:sz w:val="24"/>
                <w:szCs w:val="24"/>
              </w:rPr>
              <w:t>The narrative of each IO contains a brief history of the IO as well as the justification (and sourcing) of each coding decision that is recorded in MIA IO excel.</w:t>
            </w:r>
          </w:p>
        </w:tc>
      </w:tr>
      <w:tr w:rsidR="0010139A" w:rsidRPr="00D318AB" w14:paraId="76EB161F" w14:textId="77777777" w:rsidTr="000F445F">
        <w:tc>
          <w:tcPr>
            <w:tcW w:w="2520" w:type="dxa"/>
            <w:tcBorders>
              <w:top w:val="single" w:sz="4" w:space="0" w:color="auto"/>
              <w:bottom w:val="single" w:sz="12" w:space="0" w:color="auto"/>
            </w:tcBorders>
          </w:tcPr>
          <w:p w14:paraId="159F42C1" w14:textId="6BF27258" w:rsidR="0010139A" w:rsidRDefault="0010139A" w:rsidP="0010139A">
            <w:pPr>
              <w:keepNext/>
              <w:keepLines/>
              <w:spacing w:after="120"/>
              <w:jc w:val="both"/>
              <w:rPr>
                <w:rFonts w:ascii="Calibri" w:hAnsi="Calibri" w:cs="Times New Roman"/>
                <w:sz w:val="24"/>
                <w:szCs w:val="24"/>
              </w:rPr>
            </w:pPr>
            <w:r>
              <w:rPr>
                <w:rFonts w:ascii="Calibri" w:hAnsi="Calibri" w:cs="Times New Roman"/>
                <w:sz w:val="24"/>
                <w:szCs w:val="24"/>
              </w:rPr>
              <w:t>MIA</w:t>
            </w:r>
            <w:r w:rsidRPr="00D318AB">
              <w:rPr>
                <w:rFonts w:ascii="Calibri" w:hAnsi="Calibri" w:cs="Times New Roman"/>
                <w:sz w:val="24"/>
                <w:szCs w:val="24"/>
              </w:rPr>
              <w:t>-</w:t>
            </w:r>
            <w:r>
              <w:rPr>
                <w:rFonts w:ascii="Calibri" w:hAnsi="Calibri" w:cs="Times New Roman"/>
                <w:sz w:val="24"/>
                <w:szCs w:val="24"/>
              </w:rPr>
              <w:t>Policy</w:t>
            </w:r>
          </w:p>
        </w:tc>
        <w:tc>
          <w:tcPr>
            <w:tcW w:w="6745" w:type="dxa"/>
            <w:tcBorders>
              <w:top w:val="single" w:sz="4" w:space="0" w:color="auto"/>
              <w:bottom w:val="single" w:sz="12" w:space="0" w:color="auto"/>
            </w:tcBorders>
          </w:tcPr>
          <w:p w14:paraId="19D0B637" w14:textId="4F199586" w:rsidR="0010139A" w:rsidRDefault="0010139A" w:rsidP="0010139A">
            <w:pPr>
              <w:keepNext/>
              <w:keepLines/>
              <w:spacing w:after="120"/>
              <w:jc w:val="both"/>
              <w:rPr>
                <w:rFonts w:ascii="Calibri" w:hAnsi="Calibri" w:cs="Times New Roman"/>
                <w:sz w:val="24"/>
                <w:szCs w:val="24"/>
              </w:rPr>
            </w:pPr>
            <w:r w:rsidRPr="00D318AB">
              <w:rPr>
                <w:rFonts w:ascii="Calibri" w:hAnsi="Calibri" w:cs="Times New Roman"/>
                <w:sz w:val="24"/>
                <w:szCs w:val="24"/>
              </w:rPr>
              <w:t xml:space="preserve">Annual scores for each </w:t>
            </w:r>
            <w:r>
              <w:rPr>
                <w:rFonts w:ascii="Calibri" w:hAnsi="Calibri" w:cs="Times New Roman"/>
                <w:sz w:val="24"/>
                <w:szCs w:val="24"/>
              </w:rPr>
              <w:t xml:space="preserve">international governmental organization </w:t>
            </w:r>
            <w:r w:rsidRPr="00D318AB">
              <w:rPr>
                <w:rFonts w:ascii="Calibri" w:hAnsi="Calibri" w:cs="Times New Roman"/>
                <w:sz w:val="24"/>
                <w:szCs w:val="24"/>
              </w:rPr>
              <w:t>from 1950-201</w:t>
            </w:r>
            <w:r>
              <w:rPr>
                <w:rFonts w:ascii="Calibri" w:hAnsi="Calibri" w:cs="Times New Roman"/>
                <w:sz w:val="24"/>
                <w:szCs w:val="24"/>
              </w:rPr>
              <w:t>7</w:t>
            </w:r>
            <w:r w:rsidRPr="00D318AB">
              <w:rPr>
                <w:rFonts w:ascii="Calibri" w:hAnsi="Calibri" w:cs="Times New Roman"/>
                <w:sz w:val="24"/>
                <w:szCs w:val="24"/>
              </w:rPr>
              <w:t>. Each row breaks a</w:t>
            </w:r>
            <w:r>
              <w:rPr>
                <w:rFonts w:ascii="Calibri" w:hAnsi="Calibri" w:cs="Times New Roman"/>
                <w:sz w:val="24"/>
                <w:szCs w:val="24"/>
              </w:rPr>
              <w:t>n IO</w:t>
            </w:r>
            <w:r w:rsidRPr="00D318AB">
              <w:rPr>
                <w:rFonts w:ascii="Calibri" w:hAnsi="Calibri" w:cs="Times New Roman"/>
                <w:sz w:val="24"/>
                <w:szCs w:val="24"/>
              </w:rPr>
              <w:t xml:space="preserve">–year down </w:t>
            </w:r>
            <w:r>
              <w:rPr>
                <w:rFonts w:ascii="Calibri" w:hAnsi="Calibri" w:cs="Times New Roman"/>
                <w:sz w:val="24"/>
                <w:szCs w:val="24"/>
              </w:rPr>
              <w:t>by 25 policy areas, policy scope, core policy, and flanking policy</w:t>
            </w:r>
            <w:r w:rsidRPr="00D318AB">
              <w:rPr>
                <w:rFonts w:ascii="Calibri" w:hAnsi="Calibri" w:cs="Times New Roman"/>
                <w:sz w:val="24"/>
                <w:szCs w:val="24"/>
              </w:rPr>
              <w:t>.</w:t>
            </w:r>
          </w:p>
        </w:tc>
      </w:tr>
    </w:tbl>
    <w:p w14:paraId="65031FE8" w14:textId="550F3C66" w:rsidR="00B61DB2" w:rsidRDefault="00D318AB" w:rsidP="00CB74AA">
      <w:pPr>
        <w:spacing w:before="120" w:after="120" w:line="240" w:lineRule="auto"/>
        <w:rPr>
          <w:sz w:val="24"/>
          <w:szCs w:val="24"/>
        </w:rPr>
      </w:pPr>
      <w:r>
        <w:rPr>
          <w:sz w:val="24"/>
          <w:szCs w:val="24"/>
        </w:rPr>
        <w:t xml:space="preserve">A codebook accompanies each </w:t>
      </w:r>
      <w:r w:rsidR="00B61DB2" w:rsidRPr="005A4A9A">
        <w:rPr>
          <w:sz w:val="24"/>
          <w:szCs w:val="24"/>
        </w:rPr>
        <w:t>dataset</w:t>
      </w:r>
      <w:r>
        <w:rPr>
          <w:sz w:val="24"/>
          <w:szCs w:val="24"/>
        </w:rPr>
        <w:t xml:space="preserve">. </w:t>
      </w:r>
      <w:r w:rsidR="00CB74AA" w:rsidRPr="00CB74AA">
        <w:rPr>
          <w:b/>
          <w:bCs/>
          <w:sz w:val="24"/>
          <w:szCs w:val="24"/>
        </w:rPr>
        <w:t xml:space="preserve">This is the codebook for </w:t>
      </w:r>
      <w:r w:rsidR="00B81347">
        <w:rPr>
          <w:b/>
          <w:bCs/>
          <w:sz w:val="24"/>
          <w:szCs w:val="24"/>
        </w:rPr>
        <w:t>MIA</w:t>
      </w:r>
      <w:r w:rsidR="00CB74AA" w:rsidRPr="00CB74AA">
        <w:rPr>
          <w:b/>
          <w:bCs/>
          <w:sz w:val="24"/>
          <w:szCs w:val="24"/>
        </w:rPr>
        <w:t>-</w:t>
      </w:r>
      <w:r w:rsidR="000E2720">
        <w:rPr>
          <w:b/>
          <w:bCs/>
          <w:sz w:val="24"/>
          <w:szCs w:val="24"/>
        </w:rPr>
        <w:t>Authority</w:t>
      </w:r>
      <w:r w:rsidR="000F445F">
        <w:rPr>
          <w:b/>
          <w:bCs/>
          <w:sz w:val="24"/>
          <w:szCs w:val="24"/>
        </w:rPr>
        <w:t>.</w:t>
      </w:r>
    </w:p>
    <w:p w14:paraId="27483B78" w14:textId="5A99E268" w:rsidR="00CB74AA" w:rsidRDefault="00CB74AA">
      <w:pPr>
        <w:rPr>
          <w:sz w:val="24"/>
          <w:szCs w:val="24"/>
        </w:rPr>
      </w:pPr>
      <w:r>
        <w:rPr>
          <w:sz w:val="24"/>
          <w:szCs w:val="24"/>
        </w:rPr>
        <w:br w:type="page"/>
      </w:r>
    </w:p>
    <w:p w14:paraId="5C8F9023" w14:textId="77777777" w:rsidR="00F55B1D" w:rsidRPr="005A4A9A" w:rsidRDefault="00F55B1D" w:rsidP="00F55B1D">
      <w:pPr>
        <w:pStyle w:val="ListParagraph"/>
        <w:spacing w:after="120" w:line="240" w:lineRule="auto"/>
        <w:rPr>
          <w:sz w:val="24"/>
          <w:szCs w:val="24"/>
        </w:rPr>
      </w:pPr>
    </w:p>
    <w:p w14:paraId="046EC59A" w14:textId="306FD9A4" w:rsidR="00B61DB2" w:rsidRPr="009D3937" w:rsidRDefault="00B61DB2" w:rsidP="003B760B">
      <w:pPr>
        <w:pStyle w:val="Heading1"/>
        <w:rPr>
          <w:color w:val="538135" w:themeColor="accent6" w:themeShade="BF"/>
          <w:szCs w:val="28"/>
        </w:rPr>
      </w:pPr>
      <w:bookmarkStart w:id="5" w:name="_Toc73386184"/>
      <w:r w:rsidRPr="009D3937">
        <w:rPr>
          <w:b/>
          <w:color w:val="538135" w:themeColor="accent6" w:themeShade="BF"/>
          <w:szCs w:val="28"/>
        </w:rPr>
        <w:t>Unit of analysis</w:t>
      </w:r>
      <w:bookmarkEnd w:id="5"/>
      <w:r w:rsidRPr="009D3937">
        <w:rPr>
          <w:b/>
          <w:color w:val="538135" w:themeColor="accent6" w:themeShade="BF"/>
          <w:szCs w:val="28"/>
        </w:rPr>
        <w:t xml:space="preserve"> </w:t>
      </w:r>
    </w:p>
    <w:p w14:paraId="082B67CF" w14:textId="0EB41093" w:rsidR="00CA5C67" w:rsidRDefault="00CA5C67" w:rsidP="003B760B">
      <w:pPr>
        <w:spacing w:after="120" w:line="240" w:lineRule="auto"/>
        <w:jc w:val="both"/>
        <w:rPr>
          <w:sz w:val="24"/>
          <w:szCs w:val="24"/>
        </w:rPr>
      </w:pPr>
      <w:r>
        <w:rPr>
          <w:sz w:val="24"/>
          <w:szCs w:val="24"/>
        </w:rPr>
        <w:t>T</w:t>
      </w:r>
      <w:r w:rsidRPr="00CA5C67">
        <w:rPr>
          <w:sz w:val="24"/>
          <w:szCs w:val="24"/>
        </w:rPr>
        <w:t xml:space="preserve">he unit of analysis is the individual </w:t>
      </w:r>
      <w:r w:rsidR="000E2720">
        <w:rPr>
          <w:sz w:val="24"/>
          <w:szCs w:val="24"/>
        </w:rPr>
        <w:t>international governmental organization</w:t>
      </w:r>
      <w:r w:rsidRPr="00CA5C67">
        <w:rPr>
          <w:sz w:val="24"/>
          <w:szCs w:val="24"/>
        </w:rPr>
        <w:t xml:space="preserve"> </w:t>
      </w:r>
      <w:r w:rsidR="002E7555">
        <w:rPr>
          <w:sz w:val="24"/>
          <w:szCs w:val="24"/>
        </w:rPr>
        <w:t>(</w:t>
      </w:r>
      <w:r w:rsidR="002E7555" w:rsidRPr="002E7555">
        <w:rPr>
          <w:sz w:val="24"/>
          <w:szCs w:val="24"/>
        </w:rPr>
        <w:t xml:space="preserve">henceforth international organization or IO) </w:t>
      </w:r>
      <w:r w:rsidR="002E7555">
        <w:rPr>
          <w:sz w:val="24"/>
          <w:szCs w:val="24"/>
        </w:rPr>
        <w:t xml:space="preserve">which we define as </w:t>
      </w:r>
      <w:r w:rsidR="002E7555" w:rsidRPr="002E7555">
        <w:rPr>
          <w:sz w:val="24"/>
          <w:szCs w:val="24"/>
        </w:rPr>
        <w:t>a formal organization for collective decision making among at least three member states. An IO is international in that it is constituted among national governments. It is an organization in that it is structured by rules for a continuous purpose.</w:t>
      </w:r>
      <w:r w:rsidRPr="00CA5C67">
        <w:rPr>
          <w:sz w:val="24"/>
          <w:szCs w:val="24"/>
        </w:rPr>
        <w:t xml:space="preserve"> </w:t>
      </w:r>
    </w:p>
    <w:p w14:paraId="2CEC86AF" w14:textId="341109A5" w:rsidR="0080401E" w:rsidRDefault="0080401E" w:rsidP="003B760B">
      <w:pPr>
        <w:spacing w:after="120" w:line="240" w:lineRule="auto"/>
        <w:jc w:val="both"/>
        <w:rPr>
          <w:sz w:val="24"/>
          <w:szCs w:val="24"/>
        </w:rPr>
      </w:pPr>
      <w:r w:rsidRPr="0080401E">
        <w:rPr>
          <w:sz w:val="24"/>
          <w:szCs w:val="24"/>
          <w:u w:val="single"/>
        </w:rPr>
        <w:t>How many IOs do we identify</w:t>
      </w:r>
      <w:r w:rsidRPr="0080401E">
        <w:rPr>
          <w:sz w:val="24"/>
          <w:szCs w:val="24"/>
        </w:rPr>
        <w:t xml:space="preserve">? </w:t>
      </w:r>
      <w:r>
        <w:rPr>
          <w:sz w:val="24"/>
          <w:szCs w:val="24"/>
        </w:rPr>
        <w:t xml:space="preserve">We code 76 international organizations over the course of 1950-2019, varying over the years between </w:t>
      </w:r>
      <w:r w:rsidR="00CF1E7C">
        <w:rPr>
          <w:sz w:val="24"/>
          <w:szCs w:val="24"/>
        </w:rPr>
        <w:t>31</w:t>
      </w:r>
      <w:r>
        <w:rPr>
          <w:sz w:val="24"/>
          <w:szCs w:val="24"/>
        </w:rPr>
        <w:t xml:space="preserve"> and </w:t>
      </w:r>
      <w:r w:rsidR="00CF1E7C">
        <w:rPr>
          <w:sz w:val="24"/>
          <w:szCs w:val="24"/>
        </w:rPr>
        <w:t>80</w:t>
      </w:r>
      <w:r>
        <w:rPr>
          <w:sz w:val="24"/>
          <w:szCs w:val="24"/>
        </w:rPr>
        <w:t>.</w:t>
      </w:r>
    </w:p>
    <w:p w14:paraId="1D93F66B" w14:textId="77777777" w:rsidR="002E7555" w:rsidRPr="002E7555" w:rsidRDefault="002E7555" w:rsidP="002E7555">
      <w:pPr>
        <w:spacing w:after="120" w:line="240" w:lineRule="auto"/>
        <w:jc w:val="both"/>
        <w:rPr>
          <w:sz w:val="24"/>
          <w:szCs w:val="24"/>
        </w:rPr>
      </w:pPr>
      <w:r w:rsidRPr="002E7555">
        <w:rPr>
          <w:sz w:val="24"/>
          <w:szCs w:val="24"/>
          <w:u w:val="single"/>
        </w:rPr>
        <w:t>What do we measure</w:t>
      </w:r>
      <w:r w:rsidRPr="002E7555">
        <w:rPr>
          <w:sz w:val="24"/>
          <w:szCs w:val="24"/>
        </w:rPr>
        <w:t>? International authority, that is political authority in the international domain. Political authority is the power to make collective decisions based on a recognized obligation to obey.  We conceptualize international authority as delegation, the conditional grant of authority by member states to an independent body, and pooling, the joint exercise of authority by member states.</w:t>
      </w:r>
    </w:p>
    <w:p w14:paraId="506116F9" w14:textId="0354236A" w:rsidR="002E7555" w:rsidRPr="002E7555" w:rsidRDefault="002E7555" w:rsidP="002E7555">
      <w:pPr>
        <w:spacing w:after="120" w:line="240" w:lineRule="auto"/>
        <w:jc w:val="both"/>
        <w:rPr>
          <w:sz w:val="24"/>
          <w:szCs w:val="24"/>
        </w:rPr>
      </w:pPr>
      <w:r w:rsidRPr="002E7555">
        <w:rPr>
          <w:sz w:val="24"/>
          <w:szCs w:val="24"/>
          <w:u w:val="single"/>
        </w:rPr>
        <w:t>Which years do we code</w:t>
      </w:r>
      <w:r w:rsidRPr="002E7555">
        <w:rPr>
          <w:sz w:val="24"/>
          <w:szCs w:val="24"/>
        </w:rPr>
        <w:t>? The dataset covers the period 1950 (or the founding year of an IO, if later) to 201</w:t>
      </w:r>
      <w:r>
        <w:rPr>
          <w:sz w:val="24"/>
          <w:szCs w:val="24"/>
        </w:rPr>
        <w:t>9</w:t>
      </w:r>
      <w:r w:rsidRPr="002E7555">
        <w:rPr>
          <w:sz w:val="24"/>
          <w:szCs w:val="24"/>
        </w:rPr>
        <w:t xml:space="preserve"> (or the final year of IO existence, if earlier). We code an institutional reform from the year that it comes into effect.</w:t>
      </w:r>
      <w:r w:rsidR="0080401E">
        <w:rPr>
          <w:sz w:val="24"/>
          <w:szCs w:val="24"/>
        </w:rPr>
        <w:t xml:space="preserve"> </w:t>
      </w:r>
    </w:p>
    <w:p w14:paraId="37BB3FD3" w14:textId="77777777" w:rsidR="002E7555" w:rsidRPr="002E7555" w:rsidRDefault="002E7555" w:rsidP="002E7555">
      <w:pPr>
        <w:spacing w:after="120" w:line="240" w:lineRule="auto"/>
        <w:jc w:val="both"/>
        <w:rPr>
          <w:sz w:val="24"/>
          <w:szCs w:val="24"/>
        </w:rPr>
      </w:pPr>
      <w:r w:rsidRPr="002E7555">
        <w:rPr>
          <w:sz w:val="24"/>
          <w:szCs w:val="24"/>
          <w:u w:val="single"/>
        </w:rPr>
        <w:t>How do we keep track of change</w:t>
      </w:r>
      <w:r w:rsidRPr="002E7555">
        <w:rPr>
          <w:sz w:val="24"/>
          <w:szCs w:val="24"/>
        </w:rPr>
        <w:t>? We synthesize all observations used in scoring in an excel file for each IO. We begin with the structure and decision rules in 1950 or the first year of an IO’s existence. For each year in which we detect change, we start a new row in the excel file.</w:t>
      </w:r>
    </w:p>
    <w:p w14:paraId="7DD9EF19" w14:textId="041B2D06" w:rsidR="009B6B44" w:rsidRDefault="002E7555" w:rsidP="002E7555">
      <w:pPr>
        <w:spacing w:after="120" w:line="240" w:lineRule="auto"/>
        <w:jc w:val="both"/>
        <w:rPr>
          <w:sz w:val="24"/>
          <w:szCs w:val="24"/>
        </w:rPr>
      </w:pPr>
      <w:r w:rsidRPr="002E7555">
        <w:rPr>
          <w:sz w:val="24"/>
          <w:szCs w:val="24"/>
          <w:u w:val="single"/>
        </w:rPr>
        <w:t>How do we justify a coding decision</w:t>
      </w:r>
      <w:r w:rsidRPr="002E7555">
        <w:rPr>
          <w:sz w:val="24"/>
          <w:szCs w:val="24"/>
        </w:rPr>
        <w:t>? Our judgments relate to rules laid down in treaties, conventions, protocols, rules of procedures, statutes, or other documents. We reference the documentary basis, and we seek to triangulate our judgements with secondary sources. Profiles for each IO detail documentary bases, secondary sources, and explain our observations</w:t>
      </w:r>
      <w:r w:rsidR="00C445A7">
        <w:rPr>
          <w:sz w:val="24"/>
          <w:szCs w:val="24"/>
        </w:rPr>
        <w:t>.</w:t>
      </w:r>
      <w:r w:rsidR="0080401E">
        <w:rPr>
          <w:sz w:val="24"/>
          <w:szCs w:val="24"/>
        </w:rPr>
        <w:t xml:space="preserve"> These profiles are available on the website. </w:t>
      </w:r>
      <w:r w:rsidR="00C445A7">
        <w:rPr>
          <w:sz w:val="24"/>
          <w:szCs w:val="24"/>
        </w:rPr>
        <w:t xml:space="preserve"> </w:t>
      </w:r>
    </w:p>
    <w:p w14:paraId="456CEDC8" w14:textId="544F4DF2" w:rsidR="00C445A7" w:rsidRPr="009D3937" w:rsidRDefault="009D3937" w:rsidP="003B760B">
      <w:pPr>
        <w:pStyle w:val="Heading1"/>
        <w:jc w:val="both"/>
        <w:rPr>
          <w:b/>
          <w:bCs/>
          <w:color w:val="538135" w:themeColor="accent6" w:themeShade="BF"/>
        </w:rPr>
      </w:pPr>
      <w:bookmarkStart w:id="6" w:name="_Toc73386185"/>
      <w:r>
        <w:rPr>
          <w:b/>
          <w:bCs/>
          <w:color w:val="538135" w:themeColor="accent6" w:themeShade="BF"/>
        </w:rPr>
        <w:t>Types of IOs</w:t>
      </w:r>
      <w:r w:rsidR="009B6B44" w:rsidRPr="009D3937">
        <w:rPr>
          <w:b/>
          <w:bCs/>
          <w:color w:val="538135" w:themeColor="accent6" w:themeShade="BF"/>
        </w:rPr>
        <w:t xml:space="preserve">: </w:t>
      </w:r>
      <w:r w:rsidR="002E7555" w:rsidRPr="009D3937">
        <w:rPr>
          <w:b/>
          <w:bCs/>
          <w:color w:val="538135" w:themeColor="accent6" w:themeShade="BF"/>
        </w:rPr>
        <w:t>task-specific vs. general purpose</w:t>
      </w:r>
      <w:bookmarkEnd w:id="6"/>
      <w:r w:rsidR="002E7555" w:rsidRPr="009D3937">
        <w:rPr>
          <w:b/>
          <w:bCs/>
          <w:color w:val="538135" w:themeColor="accent6" w:themeShade="BF"/>
        </w:rPr>
        <w:t xml:space="preserve"> </w:t>
      </w:r>
    </w:p>
    <w:p w14:paraId="692B0A19" w14:textId="38E10292" w:rsidR="009B6B44" w:rsidRDefault="002E7555" w:rsidP="009D3937">
      <w:pPr>
        <w:spacing w:after="120" w:line="240" w:lineRule="auto"/>
        <w:jc w:val="both"/>
        <w:rPr>
          <w:sz w:val="24"/>
          <w:szCs w:val="24"/>
        </w:rPr>
      </w:pPr>
      <w:r>
        <w:rPr>
          <w:sz w:val="24"/>
          <w:szCs w:val="24"/>
        </w:rPr>
        <w:t xml:space="preserve">We distinguish between general-purpose and task-specific IOs. </w:t>
      </w:r>
      <w:r w:rsidR="009B6784">
        <w:rPr>
          <w:sz w:val="24"/>
          <w:szCs w:val="24"/>
        </w:rPr>
        <w:t>T</w:t>
      </w:r>
      <w:r w:rsidRPr="002E7555">
        <w:rPr>
          <w:sz w:val="24"/>
          <w:szCs w:val="24"/>
        </w:rPr>
        <w:t>his is expressed in their contractual speciﬁcity, the scale of their membership, and the breadth of their policy portfolios</w:t>
      </w:r>
      <w:r>
        <w:rPr>
          <w:sz w:val="24"/>
          <w:szCs w:val="24"/>
        </w:rPr>
        <w:t>.</w:t>
      </w:r>
      <w:r w:rsidR="009B6784">
        <w:rPr>
          <w:sz w:val="24"/>
          <w:szCs w:val="24"/>
        </w:rPr>
        <w:t xml:space="preserve"> However, at its most basic level the distinction is about the range of public goods that such IO could be asked to exercise authority over by or on behalf of its member states. Hence the thinnest definition is as follows: </w:t>
      </w:r>
    </w:p>
    <w:p w14:paraId="3EEA1A33" w14:textId="10C694EA" w:rsidR="002E7555" w:rsidRDefault="002E7555" w:rsidP="009D3937">
      <w:pPr>
        <w:pStyle w:val="ListParagraph"/>
        <w:numPr>
          <w:ilvl w:val="0"/>
          <w:numId w:val="7"/>
        </w:numPr>
        <w:spacing w:after="120" w:line="240" w:lineRule="auto"/>
        <w:jc w:val="both"/>
        <w:rPr>
          <w:sz w:val="24"/>
          <w:szCs w:val="24"/>
        </w:rPr>
      </w:pPr>
      <w:r>
        <w:rPr>
          <w:sz w:val="24"/>
          <w:szCs w:val="24"/>
        </w:rPr>
        <w:t xml:space="preserve">A </w:t>
      </w:r>
      <w:r w:rsidRPr="004D4547">
        <w:rPr>
          <w:b/>
          <w:bCs/>
          <w:sz w:val="24"/>
          <w:szCs w:val="24"/>
        </w:rPr>
        <w:t>general purpose IO</w:t>
      </w:r>
      <w:r w:rsidRPr="002E7555">
        <w:rPr>
          <w:sz w:val="24"/>
          <w:szCs w:val="24"/>
        </w:rPr>
        <w:t xml:space="preserve"> bundles the provision of public goods for a transnational community</w:t>
      </w:r>
      <w:r>
        <w:rPr>
          <w:sz w:val="24"/>
          <w:szCs w:val="24"/>
        </w:rPr>
        <w:t xml:space="preserve"> of </w:t>
      </w:r>
      <w:r w:rsidR="009B6784">
        <w:rPr>
          <w:sz w:val="24"/>
          <w:szCs w:val="24"/>
        </w:rPr>
        <w:t xml:space="preserve">member </w:t>
      </w:r>
      <w:r>
        <w:rPr>
          <w:sz w:val="24"/>
          <w:szCs w:val="24"/>
        </w:rPr>
        <w:t>states.</w:t>
      </w:r>
    </w:p>
    <w:p w14:paraId="61B5429E" w14:textId="230928E7" w:rsidR="009B6784" w:rsidRPr="002E7555" w:rsidRDefault="004D4547" w:rsidP="009D3937">
      <w:pPr>
        <w:pStyle w:val="ListParagraph"/>
        <w:numPr>
          <w:ilvl w:val="0"/>
          <w:numId w:val="7"/>
        </w:numPr>
        <w:spacing w:after="120" w:line="240" w:lineRule="auto"/>
        <w:jc w:val="both"/>
        <w:rPr>
          <w:sz w:val="24"/>
          <w:szCs w:val="24"/>
        </w:rPr>
      </w:pPr>
      <w:r>
        <w:rPr>
          <w:sz w:val="24"/>
          <w:szCs w:val="24"/>
        </w:rPr>
        <w:t xml:space="preserve">A </w:t>
      </w:r>
      <w:r w:rsidRPr="004D4547">
        <w:rPr>
          <w:b/>
          <w:bCs/>
          <w:sz w:val="24"/>
          <w:szCs w:val="24"/>
        </w:rPr>
        <w:t>t</w:t>
      </w:r>
      <w:r w:rsidR="009B6784" w:rsidRPr="004D4547">
        <w:rPr>
          <w:b/>
          <w:bCs/>
          <w:sz w:val="24"/>
          <w:szCs w:val="24"/>
        </w:rPr>
        <w:t xml:space="preserve">ask-speciﬁc </w:t>
      </w:r>
      <w:r w:rsidRPr="004D4547">
        <w:rPr>
          <w:b/>
          <w:bCs/>
          <w:sz w:val="24"/>
          <w:szCs w:val="24"/>
        </w:rPr>
        <w:t>IO</w:t>
      </w:r>
      <w:r w:rsidR="009B6784">
        <w:rPr>
          <w:sz w:val="24"/>
          <w:szCs w:val="24"/>
        </w:rPr>
        <w:t xml:space="preserve"> </w:t>
      </w:r>
      <w:r w:rsidR="009B6784" w:rsidRPr="009B6784">
        <w:rPr>
          <w:sz w:val="24"/>
          <w:szCs w:val="24"/>
        </w:rPr>
        <w:t xml:space="preserve">contracts cooperation narrowly </w:t>
      </w:r>
      <w:r w:rsidR="009B6784">
        <w:rPr>
          <w:sz w:val="24"/>
          <w:szCs w:val="24"/>
        </w:rPr>
        <w:t xml:space="preserve">around a clearly specified, and bounded, </w:t>
      </w:r>
      <w:r w:rsidR="009B6784" w:rsidRPr="009B6784">
        <w:rPr>
          <w:sz w:val="24"/>
          <w:szCs w:val="24"/>
        </w:rPr>
        <w:t>particular cooperation problem</w:t>
      </w:r>
      <w:r w:rsidR="009B6784">
        <w:rPr>
          <w:sz w:val="24"/>
          <w:szCs w:val="24"/>
        </w:rPr>
        <w:t>.</w:t>
      </w:r>
    </w:p>
    <w:p w14:paraId="4D7E5567" w14:textId="77777777" w:rsidR="00E60ECF" w:rsidRDefault="00E60ECF" w:rsidP="003B760B">
      <w:pPr>
        <w:spacing w:after="120" w:line="240" w:lineRule="auto"/>
        <w:jc w:val="both"/>
        <w:rPr>
          <w:sz w:val="24"/>
          <w:szCs w:val="24"/>
        </w:rPr>
      </w:pPr>
    </w:p>
    <w:p w14:paraId="7F6B2083" w14:textId="77777777" w:rsidR="0026306C" w:rsidRDefault="0026306C">
      <w:pPr>
        <w:rPr>
          <w:rFonts w:asciiTheme="majorHAnsi" w:eastAsiaTheme="majorEastAsia" w:hAnsiTheme="majorHAnsi" w:cstheme="majorHAnsi"/>
          <w:b/>
          <w:bCs/>
          <w:color w:val="538135" w:themeColor="accent6" w:themeShade="BF"/>
          <w:sz w:val="28"/>
          <w:szCs w:val="28"/>
        </w:rPr>
      </w:pPr>
      <w:r>
        <w:rPr>
          <w:rFonts w:cstheme="majorHAnsi"/>
          <w:b/>
          <w:bCs/>
          <w:color w:val="538135" w:themeColor="accent6" w:themeShade="BF"/>
          <w:sz w:val="28"/>
          <w:szCs w:val="28"/>
        </w:rPr>
        <w:br w:type="page"/>
      </w:r>
    </w:p>
    <w:p w14:paraId="516D4E64" w14:textId="475FCB4A" w:rsidR="006C12D4" w:rsidRPr="009D3937" w:rsidRDefault="006C12D4" w:rsidP="0026306C">
      <w:pPr>
        <w:pStyle w:val="Heading1"/>
        <w:rPr>
          <w:rFonts w:cstheme="majorHAnsi"/>
          <w:b/>
          <w:bCs/>
          <w:color w:val="538135" w:themeColor="accent6" w:themeShade="BF"/>
        </w:rPr>
      </w:pPr>
      <w:bookmarkStart w:id="7" w:name="_Toc73386186"/>
      <w:r w:rsidRPr="009D3937">
        <w:rPr>
          <w:rFonts w:cstheme="majorHAnsi"/>
          <w:b/>
          <w:bCs/>
          <w:color w:val="538135" w:themeColor="accent6" w:themeShade="BF"/>
        </w:rPr>
        <w:lastRenderedPageBreak/>
        <w:t>Authority: delegation and pooling</w:t>
      </w:r>
      <w:bookmarkEnd w:id="7"/>
    </w:p>
    <w:p w14:paraId="5A56A29E" w14:textId="48A96968" w:rsidR="006C12D4" w:rsidRDefault="006C12D4" w:rsidP="006C12D4"/>
    <w:p w14:paraId="040AD09D" w14:textId="09E34E8D" w:rsidR="009A4EB7" w:rsidRPr="009D3937" w:rsidRDefault="009A4EB7" w:rsidP="009A4EB7">
      <w:pPr>
        <w:jc w:val="both"/>
        <w:rPr>
          <w:sz w:val="24"/>
          <w:szCs w:val="24"/>
        </w:rPr>
      </w:pPr>
      <w:r w:rsidRPr="009D3937">
        <w:rPr>
          <w:sz w:val="24"/>
          <w:szCs w:val="24"/>
        </w:rPr>
        <w:t xml:space="preserve">We break down authority into two dimensions – delegation and pooling. </w:t>
      </w:r>
    </w:p>
    <w:p w14:paraId="0A59139A" w14:textId="77777777" w:rsidR="009D3937" w:rsidRDefault="009D3937" w:rsidP="009D3937">
      <w:pPr>
        <w:pStyle w:val="Heading2"/>
        <w:rPr>
          <w:b/>
          <w:bCs/>
          <w:sz w:val="24"/>
          <w:szCs w:val="24"/>
        </w:rPr>
      </w:pPr>
    </w:p>
    <w:p w14:paraId="4E08D73B" w14:textId="7E07BFE1" w:rsidR="009D3937" w:rsidRPr="009D3937" w:rsidRDefault="009D3937" w:rsidP="00837680">
      <w:pPr>
        <w:pStyle w:val="Heading2"/>
        <w:spacing w:after="240"/>
        <w:rPr>
          <w:b/>
          <w:bCs/>
          <w:i/>
          <w:iCs/>
          <w:color w:val="538135" w:themeColor="accent6" w:themeShade="BF"/>
          <w:sz w:val="28"/>
          <w:szCs w:val="28"/>
        </w:rPr>
      </w:pPr>
      <w:bookmarkStart w:id="8" w:name="_Toc73386187"/>
      <w:r w:rsidRPr="009D3937">
        <w:rPr>
          <w:b/>
          <w:bCs/>
          <w:i/>
          <w:iCs/>
          <w:color w:val="538135" w:themeColor="accent6" w:themeShade="BF"/>
          <w:sz w:val="28"/>
          <w:szCs w:val="28"/>
        </w:rPr>
        <w:t>Delegation</w:t>
      </w:r>
      <w:bookmarkEnd w:id="8"/>
    </w:p>
    <w:p w14:paraId="588FD668" w14:textId="3D6FB2B8" w:rsidR="006C12D4" w:rsidRPr="009A4EB7" w:rsidRDefault="006C12D4" w:rsidP="009A4EB7">
      <w:pPr>
        <w:jc w:val="both"/>
        <w:rPr>
          <w:sz w:val="24"/>
          <w:szCs w:val="24"/>
        </w:rPr>
      </w:pPr>
      <w:r w:rsidRPr="009A4EB7">
        <w:rPr>
          <w:b/>
          <w:bCs/>
          <w:sz w:val="24"/>
          <w:szCs w:val="24"/>
        </w:rPr>
        <w:t>Delegation</w:t>
      </w:r>
      <w:r w:rsidRPr="009A4EB7">
        <w:rPr>
          <w:sz w:val="24"/>
          <w:szCs w:val="24"/>
        </w:rPr>
        <w:t xml:space="preserve"> is an annual </w:t>
      </w:r>
      <w:r w:rsidR="00AB2472">
        <w:rPr>
          <w:sz w:val="24"/>
          <w:szCs w:val="24"/>
        </w:rPr>
        <w:t xml:space="preserve">estimate </w:t>
      </w:r>
      <w:r w:rsidRPr="009A4EB7">
        <w:rPr>
          <w:sz w:val="24"/>
          <w:szCs w:val="24"/>
        </w:rPr>
        <w:t>of the authorit</w:t>
      </w:r>
      <w:r w:rsidR="00AB2472">
        <w:rPr>
          <w:sz w:val="24"/>
          <w:szCs w:val="24"/>
        </w:rPr>
        <w:t>ative role</w:t>
      </w:r>
      <w:r w:rsidRPr="009A4EB7">
        <w:rPr>
          <w:sz w:val="24"/>
          <w:szCs w:val="24"/>
        </w:rPr>
        <w:t xml:space="preserve"> </w:t>
      </w:r>
      <w:r w:rsidR="00AB2472">
        <w:rPr>
          <w:sz w:val="24"/>
          <w:szCs w:val="24"/>
        </w:rPr>
        <w:t>of</w:t>
      </w:r>
      <w:r w:rsidRPr="009A4EB7">
        <w:rPr>
          <w:sz w:val="24"/>
          <w:szCs w:val="24"/>
        </w:rPr>
        <w:t xml:space="preserve"> </w:t>
      </w:r>
      <w:r w:rsidRPr="009A4EB7">
        <w:rPr>
          <w:sz w:val="24"/>
          <w:szCs w:val="24"/>
          <w:u w:val="single"/>
        </w:rPr>
        <w:t>non-state bodies</w:t>
      </w:r>
      <w:r w:rsidRPr="009A4EB7">
        <w:rPr>
          <w:sz w:val="24"/>
          <w:szCs w:val="24"/>
        </w:rPr>
        <w:t xml:space="preserve"> in an IO’s decision-making process. We distinguish between political delegation in agenda setting, political delegation in final decision making, and judicial delegation</w:t>
      </w:r>
      <w:r w:rsidR="009A4EB7">
        <w:rPr>
          <w:sz w:val="24"/>
          <w:szCs w:val="24"/>
        </w:rPr>
        <w:t xml:space="preserve">. </w:t>
      </w:r>
      <w:r w:rsidR="009A4EB7" w:rsidRPr="009A4EB7">
        <w:rPr>
          <w:i/>
          <w:iCs/>
          <w:sz w:val="24"/>
          <w:szCs w:val="24"/>
        </w:rPr>
        <w:t>D</w:t>
      </w:r>
      <w:r w:rsidRPr="009A4EB7">
        <w:rPr>
          <w:i/>
          <w:iCs/>
          <w:sz w:val="24"/>
          <w:szCs w:val="24"/>
        </w:rPr>
        <w:t>elegation</w:t>
      </w:r>
      <w:r w:rsidRPr="009A4EB7">
        <w:rPr>
          <w:sz w:val="24"/>
          <w:szCs w:val="24"/>
        </w:rPr>
        <w:t xml:space="preserve"> is a</w:t>
      </w:r>
      <w:r w:rsidR="009A4EB7">
        <w:rPr>
          <w:sz w:val="24"/>
          <w:szCs w:val="24"/>
        </w:rPr>
        <w:t xml:space="preserve"> straightforward</w:t>
      </w:r>
      <w:r w:rsidRPr="009A4EB7">
        <w:rPr>
          <w:sz w:val="24"/>
          <w:szCs w:val="24"/>
        </w:rPr>
        <w:t xml:space="preserve"> average of these three. </w:t>
      </w:r>
    </w:p>
    <w:p w14:paraId="6E0B9415" w14:textId="0127FFD5" w:rsidR="006C12D4" w:rsidRPr="009A4EB7" w:rsidRDefault="006C12D4" w:rsidP="009A4EB7">
      <w:pPr>
        <w:jc w:val="both"/>
        <w:rPr>
          <w:sz w:val="24"/>
          <w:szCs w:val="24"/>
        </w:rPr>
      </w:pPr>
      <w:r w:rsidRPr="009A4EB7">
        <w:rPr>
          <w:i/>
          <w:iCs/>
          <w:sz w:val="24"/>
          <w:szCs w:val="24"/>
        </w:rPr>
        <w:t>Political delegation</w:t>
      </w:r>
      <w:r w:rsidRPr="009A4EB7">
        <w:rPr>
          <w:sz w:val="24"/>
          <w:szCs w:val="24"/>
        </w:rPr>
        <w:t xml:space="preserve"> is assessed </w:t>
      </w:r>
      <w:r w:rsidR="009A4EB7">
        <w:rPr>
          <w:sz w:val="24"/>
          <w:szCs w:val="24"/>
        </w:rPr>
        <w:t xml:space="preserve">by evaluating decision making </w:t>
      </w:r>
      <w:r w:rsidRPr="009A4EB7">
        <w:rPr>
          <w:sz w:val="24"/>
          <w:szCs w:val="24"/>
        </w:rPr>
        <w:t>in a) IO assembl</w:t>
      </w:r>
      <w:r w:rsidR="009A4EB7">
        <w:rPr>
          <w:sz w:val="24"/>
          <w:szCs w:val="24"/>
        </w:rPr>
        <w:t>ies</w:t>
      </w:r>
      <w:r w:rsidRPr="009A4EB7">
        <w:rPr>
          <w:sz w:val="24"/>
          <w:szCs w:val="24"/>
        </w:rPr>
        <w:t>, executive</w:t>
      </w:r>
      <w:r w:rsidR="009A4EB7">
        <w:rPr>
          <w:sz w:val="24"/>
          <w:szCs w:val="24"/>
        </w:rPr>
        <w:t>s</w:t>
      </w:r>
      <w:r w:rsidRPr="009A4EB7">
        <w:rPr>
          <w:sz w:val="24"/>
          <w:szCs w:val="24"/>
        </w:rPr>
        <w:t>, general secretariat</w:t>
      </w:r>
      <w:r w:rsidR="009A4EB7">
        <w:rPr>
          <w:sz w:val="24"/>
          <w:szCs w:val="24"/>
        </w:rPr>
        <w:t>s</w:t>
      </w:r>
      <w:r w:rsidRPr="009A4EB7">
        <w:rPr>
          <w:sz w:val="24"/>
          <w:szCs w:val="24"/>
        </w:rPr>
        <w:t xml:space="preserve">, </w:t>
      </w:r>
      <w:r w:rsidR="00AE534E">
        <w:rPr>
          <w:sz w:val="24"/>
          <w:szCs w:val="24"/>
        </w:rPr>
        <w:t xml:space="preserve">and </w:t>
      </w:r>
      <w:r w:rsidRPr="009A4EB7">
        <w:rPr>
          <w:sz w:val="24"/>
          <w:szCs w:val="24"/>
        </w:rPr>
        <w:t>consultative bod</w:t>
      </w:r>
      <w:r w:rsidR="009A4EB7">
        <w:rPr>
          <w:sz w:val="24"/>
          <w:szCs w:val="24"/>
        </w:rPr>
        <w:t>ies</w:t>
      </w:r>
      <w:r w:rsidR="00AE534E">
        <w:rPr>
          <w:sz w:val="24"/>
          <w:szCs w:val="24"/>
        </w:rPr>
        <w:t>,</w:t>
      </w:r>
      <w:r w:rsidRPr="009A4EB7">
        <w:rPr>
          <w:sz w:val="24"/>
          <w:szCs w:val="24"/>
        </w:rPr>
        <w:t xml:space="preserve"> b) that are partially or fully composed of non-member state actors, </w:t>
      </w:r>
      <w:r w:rsidR="009A4EB7">
        <w:rPr>
          <w:sz w:val="24"/>
          <w:szCs w:val="24"/>
        </w:rPr>
        <w:t xml:space="preserve">and </w:t>
      </w:r>
      <w:r w:rsidRPr="009A4EB7">
        <w:rPr>
          <w:sz w:val="24"/>
          <w:szCs w:val="24"/>
        </w:rPr>
        <w:t xml:space="preserve">c) </w:t>
      </w:r>
      <w:r w:rsidR="00AE534E">
        <w:rPr>
          <w:sz w:val="24"/>
          <w:szCs w:val="24"/>
        </w:rPr>
        <w:t>that</w:t>
      </w:r>
      <w:r w:rsidRPr="009A4EB7">
        <w:rPr>
          <w:sz w:val="24"/>
          <w:szCs w:val="24"/>
        </w:rPr>
        <w:t xml:space="preserve"> exercise or co-exercise authority over agenda setting </w:t>
      </w:r>
      <w:r w:rsidR="00AE534E">
        <w:rPr>
          <w:sz w:val="24"/>
          <w:szCs w:val="24"/>
        </w:rPr>
        <w:t xml:space="preserve">and/or the final decision </w:t>
      </w:r>
      <w:r w:rsidRPr="009A4EB7">
        <w:rPr>
          <w:sz w:val="24"/>
          <w:szCs w:val="24"/>
        </w:rPr>
        <w:t xml:space="preserve">d) in one or more of six decision areas: membership accession, membership suspension, constitutional reform, budgetary allocation, financial non-compliance, and (up to five streams of) policy making. </w:t>
      </w:r>
      <w:r w:rsidR="009A4EB7">
        <w:rPr>
          <w:sz w:val="24"/>
          <w:szCs w:val="24"/>
        </w:rPr>
        <w:t>We evaluate the authority to set the agenda (agenda setting) and the authority to take the final decision (final decision) separately.</w:t>
      </w:r>
    </w:p>
    <w:p w14:paraId="1A52E6EB" w14:textId="2A03D6A0" w:rsidR="006C12D4" w:rsidRPr="009A4EB7" w:rsidRDefault="006C12D4" w:rsidP="009A4EB7">
      <w:pPr>
        <w:jc w:val="both"/>
        <w:rPr>
          <w:sz w:val="24"/>
          <w:szCs w:val="24"/>
        </w:rPr>
      </w:pPr>
      <w:r w:rsidRPr="009A4EB7">
        <w:rPr>
          <w:i/>
          <w:iCs/>
          <w:sz w:val="24"/>
          <w:szCs w:val="24"/>
        </w:rPr>
        <w:t>Judicial delegation</w:t>
      </w:r>
      <w:r w:rsidRPr="009A4EB7">
        <w:rPr>
          <w:sz w:val="24"/>
          <w:szCs w:val="24"/>
        </w:rPr>
        <w:t xml:space="preserve"> is assessed with </w:t>
      </w:r>
      <w:r w:rsidR="00AE534E">
        <w:rPr>
          <w:sz w:val="24"/>
          <w:szCs w:val="24"/>
        </w:rPr>
        <w:t xml:space="preserve">seven </w:t>
      </w:r>
      <w:r w:rsidR="00AB2472">
        <w:rPr>
          <w:sz w:val="24"/>
          <w:szCs w:val="24"/>
        </w:rPr>
        <w:t xml:space="preserve">dichotomous or </w:t>
      </w:r>
      <w:r w:rsidR="00AE534E">
        <w:rPr>
          <w:sz w:val="24"/>
          <w:szCs w:val="24"/>
        </w:rPr>
        <w:t xml:space="preserve">trichotomous </w:t>
      </w:r>
      <w:r w:rsidRPr="009A4EB7">
        <w:rPr>
          <w:sz w:val="24"/>
          <w:szCs w:val="24"/>
        </w:rPr>
        <w:t>items that tap how obligatory legal dispute settlement is</w:t>
      </w:r>
      <w:r w:rsidR="009A4EB7">
        <w:rPr>
          <w:sz w:val="24"/>
          <w:szCs w:val="24"/>
        </w:rPr>
        <w:t>;</w:t>
      </w:r>
      <w:r w:rsidRPr="009A4EB7">
        <w:rPr>
          <w:sz w:val="24"/>
          <w:szCs w:val="24"/>
        </w:rPr>
        <w:t xml:space="preserve"> </w:t>
      </w:r>
      <w:r w:rsidR="00AE534E">
        <w:rPr>
          <w:sz w:val="24"/>
          <w:szCs w:val="24"/>
        </w:rPr>
        <w:t xml:space="preserve">whether parties have direct access to thirdparty review; </w:t>
      </w:r>
      <w:r w:rsidRPr="009A4EB7">
        <w:rPr>
          <w:sz w:val="24"/>
          <w:szCs w:val="24"/>
        </w:rPr>
        <w:t>how binding</w:t>
      </w:r>
      <w:r w:rsidR="00AE534E">
        <w:rPr>
          <w:sz w:val="24"/>
          <w:szCs w:val="24"/>
        </w:rPr>
        <w:t xml:space="preserve"> rulings are</w:t>
      </w:r>
      <w:r w:rsidR="009A4EB7">
        <w:rPr>
          <w:sz w:val="24"/>
          <w:szCs w:val="24"/>
        </w:rPr>
        <w:t>;</w:t>
      </w:r>
      <w:r w:rsidRPr="009A4EB7">
        <w:rPr>
          <w:sz w:val="24"/>
          <w:szCs w:val="24"/>
        </w:rPr>
        <w:t xml:space="preserve"> whether there is a standing tribunal</w:t>
      </w:r>
      <w:r w:rsidR="009A4EB7">
        <w:rPr>
          <w:sz w:val="24"/>
          <w:szCs w:val="24"/>
        </w:rPr>
        <w:t>;</w:t>
      </w:r>
      <w:r w:rsidRPr="009A4EB7">
        <w:rPr>
          <w:sz w:val="24"/>
          <w:szCs w:val="24"/>
        </w:rPr>
        <w:t xml:space="preserve"> who has access</w:t>
      </w:r>
      <w:r w:rsidR="009A4EB7">
        <w:rPr>
          <w:sz w:val="24"/>
          <w:szCs w:val="24"/>
        </w:rPr>
        <w:t>;</w:t>
      </w:r>
      <w:r w:rsidRPr="009A4EB7">
        <w:rPr>
          <w:sz w:val="24"/>
          <w:szCs w:val="24"/>
        </w:rPr>
        <w:t xml:space="preserve"> whether there is a remedy for non</w:t>
      </w:r>
      <w:r w:rsidR="00AE534E">
        <w:rPr>
          <w:sz w:val="24"/>
          <w:szCs w:val="24"/>
        </w:rPr>
        <w:t xml:space="preserve"> </w:t>
      </w:r>
      <w:r w:rsidRPr="009A4EB7">
        <w:rPr>
          <w:sz w:val="24"/>
          <w:szCs w:val="24"/>
        </w:rPr>
        <w:t>compliance</w:t>
      </w:r>
      <w:r w:rsidR="009A4EB7">
        <w:rPr>
          <w:sz w:val="24"/>
          <w:szCs w:val="24"/>
        </w:rPr>
        <w:t>;</w:t>
      </w:r>
      <w:r w:rsidRPr="009A4EB7">
        <w:rPr>
          <w:sz w:val="24"/>
          <w:szCs w:val="24"/>
        </w:rPr>
        <w:t xml:space="preserve"> whether </w:t>
      </w:r>
      <w:r w:rsidR="00AE534E">
        <w:rPr>
          <w:sz w:val="24"/>
          <w:szCs w:val="24"/>
        </w:rPr>
        <w:t>i</w:t>
      </w:r>
      <w:r w:rsidRPr="009A4EB7">
        <w:rPr>
          <w:sz w:val="24"/>
          <w:szCs w:val="24"/>
        </w:rPr>
        <w:t>t can make compulsory preliminary rulings.</w:t>
      </w:r>
      <w:r w:rsidR="00040FC9" w:rsidRPr="009A4EB7">
        <w:rPr>
          <w:sz w:val="24"/>
          <w:szCs w:val="24"/>
        </w:rPr>
        <w:t xml:space="preserve"> The score for judicial delegation is the average of these s</w:t>
      </w:r>
      <w:r w:rsidR="00AE534E">
        <w:rPr>
          <w:sz w:val="24"/>
          <w:szCs w:val="24"/>
        </w:rPr>
        <w:t>even</w:t>
      </w:r>
      <w:r w:rsidR="00040FC9" w:rsidRPr="009A4EB7">
        <w:rPr>
          <w:sz w:val="24"/>
          <w:szCs w:val="24"/>
        </w:rPr>
        <w:t xml:space="preserve"> components scaled from 0 to 1; if an IO has more than one dispute settlement mechanism, we use the aggregate score of the most supranational mechanism</w:t>
      </w:r>
      <w:r w:rsidR="009A4EB7" w:rsidRPr="009A4EB7">
        <w:rPr>
          <w:sz w:val="24"/>
          <w:szCs w:val="24"/>
        </w:rPr>
        <w:t xml:space="preserve"> (DS_sum_st)</w:t>
      </w:r>
      <w:r w:rsidR="009A4EB7">
        <w:rPr>
          <w:sz w:val="24"/>
          <w:szCs w:val="24"/>
        </w:rPr>
        <w:t>.</w:t>
      </w:r>
    </w:p>
    <w:p w14:paraId="1EB7B796" w14:textId="1CAEE6A5" w:rsidR="00040FC9" w:rsidRPr="009A4EB7" w:rsidRDefault="00040FC9" w:rsidP="009A4EB7">
      <w:pPr>
        <w:jc w:val="both"/>
        <w:rPr>
          <w:sz w:val="24"/>
          <w:szCs w:val="24"/>
        </w:rPr>
      </w:pPr>
      <w:r w:rsidRPr="009A4EB7">
        <w:rPr>
          <w:sz w:val="24"/>
          <w:szCs w:val="24"/>
        </w:rPr>
        <w:t xml:space="preserve">The </w:t>
      </w:r>
      <w:r w:rsidR="00AB2472">
        <w:rPr>
          <w:sz w:val="24"/>
          <w:szCs w:val="24"/>
        </w:rPr>
        <w:t xml:space="preserve">aggregation </w:t>
      </w:r>
      <w:r w:rsidRPr="009A4EB7">
        <w:rPr>
          <w:sz w:val="24"/>
          <w:szCs w:val="24"/>
        </w:rPr>
        <w:t>for delegation works as follows:</w:t>
      </w:r>
    </w:p>
    <w:p w14:paraId="59FDF7C9" w14:textId="2C3D397C" w:rsidR="00040FC9" w:rsidRPr="009A4EB7" w:rsidRDefault="00040FC9" w:rsidP="009A4EB7">
      <w:pPr>
        <w:pStyle w:val="ListParagraph"/>
        <w:numPr>
          <w:ilvl w:val="0"/>
          <w:numId w:val="9"/>
        </w:numPr>
        <w:jc w:val="both"/>
        <w:rPr>
          <w:sz w:val="24"/>
          <w:szCs w:val="24"/>
        </w:rPr>
      </w:pPr>
      <w:r w:rsidRPr="009A4EB7">
        <w:rPr>
          <w:sz w:val="24"/>
          <w:szCs w:val="24"/>
        </w:rPr>
        <w:t xml:space="preserve">Each </w:t>
      </w:r>
      <w:r w:rsidR="00AB2472">
        <w:rPr>
          <w:sz w:val="24"/>
          <w:szCs w:val="24"/>
        </w:rPr>
        <w:t xml:space="preserve">IO </w:t>
      </w:r>
      <w:r w:rsidRPr="009A4EB7">
        <w:rPr>
          <w:sz w:val="24"/>
          <w:szCs w:val="24"/>
        </w:rPr>
        <w:t xml:space="preserve">body receives a </w:t>
      </w:r>
      <w:r w:rsidRPr="004416D8">
        <w:rPr>
          <w:b/>
          <w:bCs/>
          <w:sz w:val="24"/>
          <w:szCs w:val="24"/>
        </w:rPr>
        <w:t>composition score</w:t>
      </w:r>
      <w:r w:rsidRPr="009A4EB7">
        <w:rPr>
          <w:sz w:val="24"/>
          <w:szCs w:val="24"/>
        </w:rPr>
        <w:t xml:space="preserve"> for the degree to which it is non-state.</w:t>
      </w:r>
      <w:r w:rsidR="00AF1F99">
        <w:rPr>
          <w:rStyle w:val="FootnoteReference"/>
          <w:sz w:val="24"/>
          <w:szCs w:val="24"/>
        </w:rPr>
        <w:footnoteReference w:id="1"/>
      </w:r>
      <w:r w:rsidRPr="009A4EB7">
        <w:rPr>
          <w:sz w:val="24"/>
          <w:szCs w:val="24"/>
        </w:rPr>
        <w:t xml:space="preserve"> All scores range from 0 to 1.</w:t>
      </w:r>
      <w:r w:rsidR="004416D8">
        <w:rPr>
          <w:sz w:val="24"/>
          <w:szCs w:val="24"/>
        </w:rPr>
        <w:t xml:space="preserve"> </w:t>
      </w:r>
    </w:p>
    <w:p w14:paraId="7F17D14D" w14:textId="046113AF" w:rsidR="00040FC9" w:rsidRPr="009A4EB7" w:rsidRDefault="004416D8" w:rsidP="009A4EB7">
      <w:pPr>
        <w:pStyle w:val="ListParagraph"/>
        <w:numPr>
          <w:ilvl w:val="0"/>
          <w:numId w:val="9"/>
        </w:numPr>
        <w:jc w:val="both"/>
        <w:rPr>
          <w:sz w:val="24"/>
          <w:szCs w:val="24"/>
        </w:rPr>
      </w:pPr>
      <w:r>
        <w:rPr>
          <w:sz w:val="24"/>
          <w:szCs w:val="24"/>
        </w:rPr>
        <w:t xml:space="preserve">Calculating </w:t>
      </w:r>
      <w:r w:rsidR="00AF1F99" w:rsidRPr="00AF1F99">
        <w:rPr>
          <w:b/>
          <w:bCs/>
          <w:sz w:val="24"/>
          <w:szCs w:val="24"/>
        </w:rPr>
        <w:t>delegation in</w:t>
      </w:r>
      <w:r w:rsidR="00AF1F99">
        <w:rPr>
          <w:sz w:val="24"/>
          <w:szCs w:val="24"/>
        </w:rPr>
        <w:t xml:space="preserve"> </w:t>
      </w:r>
      <w:r w:rsidRPr="004416D8">
        <w:rPr>
          <w:b/>
          <w:bCs/>
          <w:sz w:val="24"/>
          <w:szCs w:val="24"/>
        </w:rPr>
        <w:t>agenda setting</w:t>
      </w:r>
      <w:r w:rsidR="00EB3E09">
        <w:rPr>
          <w:b/>
          <w:bCs/>
          <w:sz w:val="24"/>
          <w:szCs w:val="24"/>
        </w:rPr>
        <w:t xml:space="preserve"> (del_agenda)</w:t>
      </w:r>
      <w:r>
        <w:rPr>
          <w:sz w:val="24"/>
          <w:szCs w:val="24"/>
        </w:rPr>
        <w:t>. We average c</w:t>
      </w:r>
      <w:r w:rsidR="00040FC9" w:rsidRPr="009A4EB7">
        <w:rPr>
          <w:sz w:val="24"/>
          <w:szCs w:val="24"/>
        </w:rPr>
        <w:t>omposition scores for all bodies that participate in agenda setting</w:t>
      </w:r>
      <w:r>
        <w:rPr>
          <w:sz w:val="24"/>
          <w:szCs w:val="24"/>
        </w:rPr>
        <w:t xml:space="preserve"> in each decision area. </w:t>
      </w:r>
      <w:r w:rsidR="00AB2472">
        <w:rPr>
          <w:sz w:val="24"/>
          <w:szCs w:val="24"/>
        </w:rPr>
        <w:t xml:space="preserve">With respect to </w:t>
      </w:r>
      <w:r>
        <w:rPr>
          <w:sz w:val="24"/>
          <w:szCs w:val="24"/>
        </w:rPr>
        <w:t>the decision area of policy making, a</w:t>
      </w:r>
      <w:r w:rsidR="00040FC9" w:rsidRPr="009A4EB7">
        <w:rPr>
          <w:sz w:val="24"/>
          <w:szCs w:val="24"/>
        </w:rPr>
        <w:t>n adjustment is made when an IO has more than one policy stream</w:t>
      </w:r>
      <w:r w:rsidR="00AF1F99">
        <w:rPr>
          <w:sz w:val="24"/>
          <w:szCs w:val="24"/>
        </w:rPr>
        <w:t xml:space="preserve"> or when the general secretariat is the sole gatekeeper</w:t>
      </w:r>
      <w:r w:rsidR="00040FC9" w:rsidRPr="009A4EB7">
        <w:rPr>
          <w:sz w:val="24"/>
          <w:szCs w:val="24"/>
        </w:rPr>
        <w:t xml:space="preserve">. This produces an </w:t>
      </w:r>
      <w:r w:rsidR="00040FC9" w:rsidRPr="004416D8">
        <w:rPr>
          <w:sz w:val="24"/>
          <w:szCs w:val="24"/>
        </w:rPr>
        <w:t>agenda setting score</w:t>
      </w:r>
      <w:r w:rsidR="00040FC9" w:rsidRPr="009A4EB7">
        <w:rPr>
          <w:sz w:val="24"/>
          <w:szCs w:val="24"/>
        </w:rPr>
        <w:t xml:space="preserve"> for each decision area</w:t>
      </w:r>
      <w:r w:rsidR="00AF1F99">
        <w:rPr>
          <w:sz w:val="24"/>
          <w:szCs w:val="24"/>
        </w:rPr>
        <w:t>, and delegation in agenda setting is the average of these six scores</w:t>
      </w:r>
      <w:r w:rsidR="00040FC9" w:rsidRPr="009A4EB7">
        <w:rPr>
          <w:sz w:val="24"/>
          <w:szCs w:val="24"/>
        </w:rPr>
        <w:t>.</w:t>
      </w:r>
    </w:p>
    <w:p w14:paraId="4FC57DC5" w14:textId="74F0AC40" w:rsidR="00040FC9" w:rsidRPr="009A4EB7" w:rsidRDefault="004416D8" w:rsidP="009A4EB7">
      <w:pPr>
        <w:pStyle w:val="ListParagraph"/>
        <w:numPr>
          <w:ilvl w:val="0"/>
          <w:numId w:val="9"/>
        </w:numPr>
        <w:jc w:val="both"/>
        <w:rPr>
          <w:sz w:val="24"/>
          <w:szCs w:val="24"/>
        </w:rPr>
      </w:pPr>
      <w:r>
        <w:rPr>
          <w:sz w:val="24"/>
          <w:szCs w:val="24"/>
        </w:rPr>
        <w:lastRenderedPageBreak/>
        <w:t xml:space="preserve">Calculating </w:t>
      </w:r>
      <w:r w:rsidR="00AF1F99" w:rsidRPr="00AF1F99">
        <w:rPr>
          <w:b/>
          <w:bCs/>
          <w:sz w:val="24"/>
          <w:szCs w:val="24"/>
        </w:rPr>
        <w:t>delegation in</w:t>
      </w:r>
      <w:r w:rsidR="00AF1F99">
        <w:rPr>
          <w:sz w:val="24"/>
          <w:szCs w:val="24"/>
        </w:rPr>
        <w:t xml:space="preserve"> </w:t>
      </w:r>
      <w:r w:rsidRPr="004416D8">
        <w:rPr>
          <w:b/>
          <w:bCs/>
          <w:sz w:val="24"/>
          <w:szCs w:val="24"/>
        </w:rPr>
        <w:t>final decision</w:t>
      </w:r>
      <w:r w:rsidR="00EB3E09">
        <w:rPr>
          <w:b/>
          <w:bCs/>
          <w:sz w:val="24"/>
          <w:szCs w:val="24"/>
        </w:rPr>
        <w:t xml:space="preserve"> (del_final)</w:t>
      </w:r>
      <w:r>
        <w:rPr>
          <w:sz w:val="24"/>
          <w:szCs w:val="24"/>
        </w:rPr>
        <w:t xml:space="preserve">. </w:t>
      </w:r>
      <w:r w:rsidR="00AF1F99">
        <w:rPr>
          <w:sz w:val="24"/>
          <w:szCs w:val="24"/>
        </w:rPr>
        <w:t xml:space="preserve">Rather than averaging, </w:t>
      </w:r>
      <w:r w:rsidR="00AB2472">
        <w:rPr>
          <w:sz w:val="24"/>
          <w:szCs w:val="24"/>
        </w:rPr>
        <w:t xml:space="preserve">here </w:t>
      </w:r>
      <w:r w:rsidR="00AF1F99">
        <w:rPr>
          <w:sz w:val="24"/>
          <w:szCs w:val="24"/>
        </w:rPr>
        <w:t>we</w:t>
      </w:r>
      <w:r w:rsidR="00040FC9" w:rsidRPr="009A4EB7">
        <w:rPr>
          <w:sz w:val="24"/>
          <w:szCs w:val="24"/>
        </w:rPr>
        <w:t xml:space="preserve"> identify the body with the </w:t>
      </w:r>
      <w:r w:rsidR="00040FC9" w:rsidRPr="00AB2472">
        <w:rPr>
          <w:i/>
          <w:iCs/>
          <w:sz w:val="24"/>
          <w:szCs w:val="24"/>
        </w:rPr>
        <w:t>highest</w:t>
      </w:r>
      <w:r w:rsidR="00040FC9" w:rsidRPr="009A4EB7">
        <w:rPr>
          <w:sz w:val="24"/>
          <w:szCs w:val="24"/>
        </w:rPr>
        <w:t xml:space="preserve"> composition score </w:t>
      </w:r>
      <w:r w:rsidR="00040FC9" w:rsidRPr="004416D8">
        <w:rPr>
          <w:sz w:val="24"/>
          <w:szCs w:val="24"/>
        </w:rPr>
        <w:t xml:space="preserve">in each decision area. This </w:t>
      </w:r>
      <w:r w:rsidR="009A4EB7" w:rsidRPr="004416D8">
        <w:rPr>
          <w:sz w:val="24"/>
          <w:szCs w:val="24"/>
        </w:rPr>
        <w:t>produces</w:t>
      </w:r>
      <w:r w:rsidR="00040FC9" w:rsidRPr="004416D8">
        <w:rPr>
          <w:sz w:val="24"/>
          <w:szCs w:val="24"/>
        </w:rPr>
        <w:t xml:space="preserve"> </w:t>
      </w:r>
      <w:r w:rsidR="00AF1F99">
        <w:rPr>
          <w:sz w:val="24"/>
          <w:szCs w:val="24"/>
        </w:rPr>
        <w:t>a</w:t>
      </w:r>
      <w:r w:rsidR="00040FC9" w:rsidRPr="004416D8">
        <w:rPr>
          <w:sz w:val="24"/>
          <w:szCs w:val="24"/>
        </w:rPr>
        <w:t xml:space="preserve"> decision score for each decision are</w:t>
      </w:r>
      <w:r w:rsidR="00040FC9" w:rsidRPr="009A4EB7">
        <w:rPr>
          <w:sz w:val="24"/>
          <w:szCs w:val="24"/>
        </w:rPr>
        <w:t>a</w:t>
      </w:r>
      <w:r w:rsidR="00AF1F99">
        <w:rPr>
          <w:sz w:val="24"/>
          <w:szCs w:val="24"/>
        </w:rPr>
        <w:t>, and delegation in final decision is the average of these six scores</w:t>
      </w:r>
      <w:r w:rsidR="00040FC9" w:rsidRPr="009A4EB7">
        <w:rPr>
          <w:sz w:val="24"/>
          <w:szCs w:val="24"/>
        </w:rPr>
        <w:t>.</w:t>
      </w:r>
    </w:p>
    <w:p w14:paraId="6676BFB6" w14:textId="5F4E8D81" w:rsidR="00040FC9" w:rsidRPr="009A4EB7" w:rsidRDefault="00EB3E09" w:rsidP="009A4EB7">
      <w:pPr>
        <w:pStyle w:val="ListParagraph"/>
        <w:numPr>
          <w:ilvl w:val="0"/>
          <w:numId w:val="9"/>
        </w:numPr>
        <w:jc w:val="both"/>
        <w:rPr>
          <w:sz w:val="24"/>
          <w:szCs w:val="24"/>
        </w:rPr>
      </w:pPr>
      <w:r>
        <w:rPr>
          <w:sz w:val="24"/>
          <w:szCs w:val="24"/>
        </w:rPr>
        <w:t>W</w:t>
      </w:r>
      <w:r w:rsidR="00AF1F99">
        <w:rPr>
          <w:sz w:val="24"/>
          <w:szCs w:val="24"/>
        </w:rPr>
        <w:t xml:space="preserve">e </w:t>
      </w:r>
      <w:r>
        <w:rPr>
          <w:sz w:val="24"/>
          <w:szCs w:val="24"/>
        </w:rPr>
        <w:t>use</w:t>
      </w:r>
      <w:r w:rsidR="00AF1F99">
        <w:rPr>
          <w:sz w:val="24"/>
          <w:szCs w:val="24"/>
        </w:rPr>
        <w:t xml:space="preserve"> </w:t>
      </w:r>
      <w:r>
        <w:rPr>
          <w:sz w:val="24"/>
          <w:szCs w:val="24"/>
        </w:rPr>
        <w:t>DS_sum_st</w:t>
      </w:r>
      <w:r w:rsidR="00AB2472">
        <w:rPr>
          <w:sz w:val="24"/>
          <w:szCs w:val="24"/>
        </w:rPr>
        <w:t>, an average of seven components,</w:t>
      </w:r>
      <w:r>
        <w:rPr>
          <w:sz w:val="24"/>
          <w:szCs w:val="24"/>
        </w:rPr>
        <w:t xml:space="preserve"> for</w:t>
      </w:r>
      <w:r w:rsidR="00AF1F99">
        <w:rPr>
          <w:sz w:val="24"/>
          <w:szCs w:val="24"/>
        </w:rPr>
        <w:t xml:space="preserve"> </w:t>
      </w:r>
      <w:r w:rsidR="00AF1F99" w:rsidRPr="00AF1F99">
        <w:rPr>
          <w:b/>
          <w:bCs/>
          <w:sz w:val="24"/>
          <w:szCs w:val="24"/>
        </w:rPr>
        <w:t>judicial delegation</w:t>
      </w:r>
      <w:r w:rsidR="00040FC9" w:rsidRPr="009A4EB7">
        <w:rPr>
          <w:sz w:val="24"/>
          <w:szCs w:val="24"/>
        </w:rPr>
        <w:t>.</w:t>
      </w:r>
    </w:p>
    <w:p w14:paraId="4678A778" w14:textId="28B310AE" w:rsidR="00040FC9" w:rsidRPr="009A4EB7" w:rsidRDefault="00EB3E09" w:rsidP="009A4EB7">
      <w:pPr>
        <w:pStyle w:val="ListParagraph"/>
        <w:numPr>
          <w:ilvl w:val="0"/>
          <w:numId w:val="9"/>
        </w:numPr>
        <w:jc w:val="both"/>
        <w:rPr>
          <w:sz w:val="24"/>
          <w:szCs w:val="24"/>
        </w:rPr>
      </w:pPr>
      <w:r w:rsidRPr="00EB3E09">
        <w:rPr>
          <w:b/>
          <w:bCs/>
          <w:sz w:val="24"/>
          <w:szCs w:val="24"/>
        </w:rPr>
        <w:t>D</w:t>
      </w:r>
      <w:r w:rsidR="00040FC9" w:rsidRPr="004416D8">
        <w:rPr>
          <w:b/>
          <w:bCs/>
          <w:sz w:val="24"/>
          <w:szCs w:val="24"/>
        </w:rPr>
        <w:t xml:space="preserve">elegation </w:t>
      </w:r>
      <w:r w:rsidR="00040FC9" w:rsidRPr="009A4EB7">
        <w:rPr>
          <w:sz w:val="24"/>
          <w:szCs w:val="24"/>
        </w:rPr>
        <w:t>for an IO</w:t>
      </w:r>
      <w:r w:rsidR="00A925F8">
        <w:rPr>
          <w:sz w:val="24"/>
          <w:szCs w:val="24"/>
        </w:rPr>
        <w:t xml:space="preserve">-year </w:t>
      </w:r>
      <w:r w:rsidR="00040FC9" w:rsidRPr="009A4EB7">
        <w:rPr>
          <w:sz w:val="24"/>
          <w:szCs w:val="24"/>
        </w:rPr>
        <w:t xml:space="preserve">is the average of </w:t>
      </w:r>
      <w:r w:rsidR="00AF1F99">
        <w:rPr>
          <w:sz w:val="24"/>
          <w:szCs w:val="24"/>
        </w:rPr>
        <w:t xml:space="preserve">delegation in </w:t>
      </w:r>
      <w:r>
        <w:rPr>
          <w:sz w:val="24"/>
          <w:szCs w:val="24"/>
        </w:rPr>
        <w:t>agenda setting (del_agenda), delegation in final decision (del_final), and judicial delegation (DS_sum_st)</w:t>
      </w:r>
      <w:r w:rsidR="00040FC9" w:rsidRPr="009A4EB7">
        <w:rPr>
          <w:sz w:val="24"/>
          <w:szCs w:val="24"/>
        </w:rPr>
        <w:t>.</w:t>
      </w:r>
      <w:r w:rsidR="00040FC9" w:rsidRPr="009A4EB7">
        <w:rPr>
          <w:rStyle w:val="FootnoteReference"/>
          <w:sz w:val="24"/>
          <w:szCs w:val="24"/>
        </w:rPr>
        <w:footnoteReference w:id="2"/>
      </w:r>
      <w:r w:rsidR="00040FC9" w:rsidRPr="009A4EB7">
        <w:rPr>
          <w:sz w:val="24"/>
          <w:szCs w:val="24"/>
        </w:rPr>
        <w:t xml:space="preserve"> </w:t>
      </w:r>
    </w:p>
    <w:p w14:paraId="4FC37EA6" w14:textId="19DE840B" w:rsidR="001F08A4" w:rsidRPr="009A4EB7" w:rsidRDefault="001F08A4" w:rsidP="009A4EB7">
      <w:pPr>
        <w:jc w:val="both"/>
        <w:rPr>
          <w:sz w:val="24"/>
          <w:szCs w:val="24"/>
        </w:rPr>
      </w:pPr>
    </w:p>
    <w:p w14:paraId="1F937653" w14:textId="1E2018CD" w:rsidR="009D3937" w:rsidRPr="009D3937" w:rsidRDefault="009D3937" w:rsidP="00837680">
      <w:pPr>
        <w:pStyle w:val="Heading2"/>
        <w:spacing w:after="240"/>
        <w:rPr>
          <w:b/>
          <w:bCs/>
          <w:i/>
          <w:iCs/>
          <w:color w:val="538135" w:themeColor="accent6" w:themeShade="BF"/>
          <w:sz w:val="28"/>
          <w:szCs w:val="28"/>
        </w:rPr>
      </w:pPr>
      <w:bookmarkStart w:id="9" w:name="_Toc73386188"/>
      <w:r w:rsidRPr="009D3937">
        <w:rPr>
          <w:b/>
          <w:bCs/>
          <w:i/>
          <w:iCs/>
          <w:color w:val="538135" w:themeColor="accent6" w:themeShade="BF"/>
          <w:sz w:val="28"/>
          <w:szCs w:val="28"/>
        </w:rPr>
        <w:t>Pooling</w:t>
      </w:r>
      <w:bookmarkEnd w:id="9"/>
    </w:p>
    <w:p w14:paraId="7C55C1AC" w14:textId="4C889083" w:rsidR="00040FC9" w:rsidRDefault="006C12D4" w:rsidP="009A4EB7">
      <w:pPr>
        <w:jc w:val="both"/>
        <w:rPr>
          <w:sz w:val="24"/>
          <w:szCs w:val="24"/>
        </w:rPr>
      </w:pPr>
      <w:r w:rsidRPr="009A4EB7">
        <w:rPr>
          <w:b/>
          <w:bCs/>
          <w:sz w:val="24"/>
          <w:szCs w:val="24"/>
        </w:rPr>
        <w:t>Pooling</w:t>
      </w:r>
      <w:r w:rsidRPr="009A4EB7">
        <w:rPr>
          <w:sz w:val="24"/>
          <w:szCs w:val="24"/>
        </w:rPr>
        <w:t xml:space="preserve"> </w:t>
      </w:r>
      <w:r w:rsidR="00040FC9" w:rsidRPr="009A4EB7">
        <w:rPr>
          <w:sz w:val="24"/>
          <w:szCs w:val="24"/>
        </w:rPr>
        <w:t>is an annual estimate of the extent to which member states share authority through collective decision making</w:t>
      </w:r>
      <w:r w:rsidR="00AB2472">
        <w:rPr>
          <w:sz w:val="24"/>
          <w:szCs w:val="24"/>
        </w:rPr>
        <w:t xml:space="preserve"> in the IO</w:t>
      </w:r>
      <w:r w:rsidR="00040FC9" w:rsidRPr="009A4EB7">
        <w:rPr>
          <w:sz w:val="24"/>
          <w:szCs w:val="24"/>
        </w:rPr>
        <w:t xml:space="preserve">. Pooling </w:t>
      </w:r>
      <w:r w:rsidR="001F08A4" w:rsidRPr="009A4EB7">
        <w:rPr>
          <w:sz w:val="24"/>
          <w:szCs w:val="24"/>
        </w:rPr>
        <w:t xml:space="preserve">is higher to </w:t>
      </w:r>
      <w:r w:rsidR="009A4EB7">
        <w:rPr>
          <w:sz w:val="24"/>
          <w:szCs w:val="24"/>
        </w:rPr>
        <w:t xml:space="preserve">the </w:t>
      </w:r>
      <w:r w:rsidR="001F08A4" w:rsidRPr="009A4EB7">
        <w:rPr>
          <w:sz w:val="24"/>
          <w:szCs w:val="24"/>
        </w:rPr>
        <w:t xml:space="preserve">extent that national sovereignty is constrained by a) </w:t>
      </w:r>
      <w:r w:rsidR="00040FC9" w:rsidRPr="009A4EB7">
        <w:rPr>
          <w:sz w:val="24"/>
          <w:szCs w:val="24"/>
        </w:rPr>
        <w:t xml:space="preserve">majority voting, </w:t>
      </w:r>
      <w:r w:rsidR="001F08A4" w:rsidRPr="009A4EB7">
        <w:rPr>
          <w:sz w:val="24"/>
          <w:szCs w:val="24"/>
        </w:rPr>
        <w:t xml:space="preserve">b) IO decisions </w:t>
      </w:r>
      <w:r w:rsidR="009A4EB7">
        <w:rPr>
          <w:sz w:val="24"/>
          <w:szCs w:val="24"/>
        </w:rPr>
        <w:t xml:space="preserve">that </w:t>
      </w:r>
      <w:r w:rsidR="001F08A4" w:rsidRPr="009A4EB7">
        <w:rPr>
          <w:sz w:val="24"/>
          <w:szCs w:val="24"/>
        </w:rPr>
        <w:t xml:space="preserve">are not </w:t>
      </w:r>
      <w:r w:rsidR="00AB2472">
        <w:rPr>
          <w:sz w:val="24"/>
          <w:szCs w:val="24"/>
        </w:rPr>
        <w:t xml:space="preserve">or only partially </w:t>
      </w:r>
      <w:r w:rsidR="001F08A4" w:rsidRPr="009A4EB7">
        <w:rPr>
          <w:sz w:val="24"/>
          <w:szCs w:val="24"/>
        </w:rPr>
        <w:t xml:space="preserve">subject to ratification, and c) IO decisions </w:t>
      </w:r>
      <w:r w:rsidR="009A4EB7">
        <w:rPr>
          <w:sz w:val="24"/>
          <w:szCs w:val="24"/>
        </w:rPr>
        <w:t xml:space="preserve">that </w:t>
      </w:r>
      <w:r w:rsidR="001F08A4" w:rsidRPr="009A4EB7">
        <w:rPr>
          <w:sz w:val="24"/>
          <w:szCs w:val="24"/>
        </w:rPr>
        <w:t>are binding</w:t>
      </w:r>
      <w:r w:rsidR="00AB2472">
        <w:rPr>
          <w:sz w:val="24"/>
          <w:szCs w:val="24"/>
        </w:rPr>
        <w:t xml:space="preserve"> or conditionally binding</w:t>
      </w:r>
      <w:r w:rsidR="001F08A4" w:rsidRPr="009A4EB7">
        <w:rPr>
          <w:sz w:val="24"/>
          <w:szCs w:val="24"/>
        </w:rPr>
        <w:t xml:space="preserve">. </w:t>
      </w:r>
    </w:p>
    <w:p w14:paraId="370E9560" w14:textId="705167EA" w:rsidR="001F08A4" w:rsidRPr="009A4EB7" w:rsidRDefault="001F08A4" w:rsidP="009A4EB7">
      <w:pPr>
        <w:jc w:val="both"/>
        <w:rPr>
          <w:sz w:val="24"/>
          <w:szCs w:val="24"/>
        </w:rPr>
      </w:pPr>
      <w:r w:rsidRPr="009A4EB7">
        <w:rPr>
          <w:sz w:val="24"/>
          <w:szCs w:val="24"/>
        </w:rPr>
        <w:t>Pooling is assessed in a) one or more state</w:t>
      </w:r>
      <w:r w:rsidR="000938CC">
        <w:rPr>
          <w:sz w:val="24"/>
          <w:szCs w:val="24"/>
        </w:rPr>
        <w:t xml:space="preserve"> </w:t>
      </w:r>
      <w:r w:rsidRPr="009A4EB7">
        <w:rPr>
          <w:sz w:val="24"/>
          <w:szCs w:val="24"/>
        </w:rPr>
        <w:t>controlled IO bodies (assemblies, executives) b) in which member states collectively set the agenda and/or make final decisions, c) by pooling their authority under some decision rule with some degree of bindingness and/or requiring some form of ratification, d) in one or more of six decision areas (poolacc</w:t>
      </w:r>
      <w:r w:rsidR="009A4EB7">
        <w:rPr>
          <w:sz w:val="24"/>
          <w:szCs w:val="24"/>
        </w:rPr>
        <w:t>ess</w:t>
      </w:r>
      <w:r w:rsidRPr="009A4EB7">
        <w:rPr>
          <w:sz w:val="24"/>
          <w:szCs w:val="24"/>
        </w:rPr>
        <w:t xml:space="preserve">, poolsuspens, poolconstit, poolbudget, poolcompliance, poolpolicy). </w:t>
      </w:r>
    </w:p>
    <w:p w14:paraId="223DC611" w14:textId="47EC2968" w:rsidR="001F08A4" w:rsidRPr="009A4EB7" w:rsidRDefault="001F08A4" w:rsidP="009A4EB7">
      <w:pPr>
        <w:jc w:val="both"/>
        <w:rPr>
          <w:sz w:val="24"/>
          <w:szCs w:val="24"/>
        </w:rPr>
      </w:pPr>
      <w:r w:rsidRPr="009A4EB7">
        <w:rPr>
          <w:sz w:val="24"/>
          <w:szCs w:val="24"/>
        </w:rPr>
        <w:t xml:space="preserve">The scoring for pooling works as follows: </w:t>
      </w:r>
    </w:p>
    <w:p w14:paraId="5F4EE798" w14:textId="029567ED" w:rsidR="001F08A4" w:rsidRPr="009A4EB7" w:rsidRDefault="001F08A4" w:rsidP="009A4EB7">
      <w:pPr>
        <w:pStyle w:val="ListParagraph"/>
        <w:numPr>
          <w:ilvl w:val="0"/>
          <w:numId w:val="11"/>
        </w:numPr>
        <w:jc w:val="both"/>
        <w:rPr>
          <w:sz w:val="24"/>
          <w:szCs w:val="24"/>
        </w:rPr>
      </w:pPr>
      <w:r w:rsidRPr="009A4EB7">
        <w:rPr>
          <w:sz w:val="24"/>
          <w:szCs w:val="24"/>
        </w:rPr>
        <w:t>We determine which IO bodies are state</w:t>
      </w:r>
      <w:r w:rsidR="00AB2472">
        <w:rPr>
          <w:sz w:val="24"/>
          <w:szCs w:val="24"/>
        </w:rPr>
        <w:t xml:space="preserve"> </w:t>
      </w:r>
      <w:r w:rsidR="000938CC">
        <w:rPr>
          <w:sz w:val="24"/>
          <w:szCs w:val="24"/>
        </w:rPr>
        <w:t>controlled</w:t>
      </w:r>
      <w:r w:rsidRPr="009A4EB7">
        <w:rPr>
          <w:sz w:val="24"/>
          <w:szCs w:val="24"/>
        </w:rPr>
        <w:t>.</w:t>
      </w:r>
      <w:r w:rsidR="00D75FCE">
        <w:rPr>
          <w:rStyle w:val="FootnoteReference"/>
          <w:sz w:val="24"/>
          <w:szCs w:val="24"/>
        </w:rPr>
        <w:footnoteReference w:id="3"/>
      </w:r>
    </w:p>
    <w:p w14:paraId="7117A9F4" w14:textId="50DC545B" w:rsidR="001F08A4" w:rsidRPr="009A4EB7" w:rsidRDefault="001F08A4" w:rsidP="009A4EB7">
      <w:pPr>
        <w:pStyle w:val="ListParagraph"/>
        <w:numPr>
          <w:ilvl w:val="0"/>
          <w:numId w:val="11"/>
        </w:numPr>
        <w:jc w:val="both"/>
        <w:rPr>
          <w:sz w:val="24"/>
          <w:szCs w:val="24"/>
        </w:rPr>
      </w:pPr>
      <w:r w:rsidRPr="009A4EB7">
        <w:rPr>
          <w:sz w:val="24"/>
          <w:szCs w:val="24"/>
        </w:rPr>
        <w:t xml:space="preserve">Each of these </w:t>
      </w:r>
      <w:r w:rsidR="00BF4F77">
        <w:rPr>
          <w:sz w:val="24"/>
          <w:szCs w:val="24"/>
        </w:rPr>
        <w:t>state</w:t>
      </w:r>
      <w:r w:rsidR="000938CC">
        <w:rPr>
          <w:sz w:val="24"/>
          <w:szCs w:val="24"/>
        </w:rPr>
        <w:t xml:space="preserve"> controlled </w:t>
      </w:r>
      <w:r w:rsidRPr="009A4EB7">
        <w:rPr>
          <w:sz w:val="24"/>
          <w:szCs w:val="24"/>
        </w:rPr>
        <w:t xml:space="preserve">bodies receives </w:t>
      </w:r>
      <w:r w:rsidR="009A4EB7">
        <w:rPr>
          <w:sz w:val="24"/>
          <w:szCs w:val="24"/>
        </w:rPr>
        <w:t xml:space="preserve">a </w:t>
      </w:r>
      <w:r w:rsidRPr="00132EBC">
        <w:rPr>
          <w:b/>
          <w:bCs/>
          <w:sz w:val="24"/>
          <w:szCs w:val="24"/>
        </w:rPr>
        <w:t>voting score</w:t>
      </w:r>
      <w:r w:rsidR="009A4EB7">
        <w:rPr>
          <w:sz w:val="24"/>
          <w:szCs w:val="24"/>
        </w:rPr>
        <w:t xml:space="preserve"> which reflects</w:t>
      </w:r>
      <w:r w:rsidRPr="009A4EB7">
        <w:rPr>
          <w:sz w:val="24"/>
          <w:szCs w:val="24"/>
        </w:rPr>
        <w:t xml:space="preserve"> the voting rule in each decision area. </w:t>
      </w:r>
      <w:r w:rsidR="00AB2472">
        <w:rPr>
          <w:sz w:val="24"/>
          <w:szCs w:val="24"/>
        </w:rPr>
        <w:t>A</w:t>
      </w:r>
      <w:r w:rsidR="009A4EB7">
        <w:rPr>
          <w:sz w:val="24"/>
          <w:szCs w:val="24"/>
        </w:rPr>
        <w:t xml:space="preserve"> </w:t>
      </w:r>
      <w:r w:rsidRPr="009A4EB7">
        <w:rPr>
          <w:sz w:val="24"/>
          <w:szCs w:val="24"/>
        </w:rPr>
        <w:t>score scale</w:t>
      </w:r>
      <w:r w:rsidR="00BF4F77">
        <w:rPr>
          <w:sz w:val="24"/>
          <w:szCs w:val="24"/>
        </w:rPr>
        <w:t>s</w:t>
      </w:r>
      <w:r w:rsidRPr="009A4EB7">
        <w:rPr>
          <w:sz w:val="24"/>
          <w:szCs w:val="24"/>
        </w:rPr>
        <w:t xml:space="preserve"> from 0 </w:t>
      </w:r>
      <w:r w:rsidR="00AB2472">
        <w:rPr>
          <w:sz w:val="24"/>
          <w:szCs w:val="24"/>
        </w:rPr>
        <w:t xml:space="preserve">(individual decision by each </w:t>
      </w:r>
      <w:r w:rsidR="00BF4F77">
        <w:rPr>
          <w:sz w:val="24"/>
          <w:szCs w:val="24"/>
        </w:rPr>
        <w:t>member</w:t>
      </w:r>
      <w:r w:rsidR="00AB2472">
        <w:rPr>
          <w:sz w:val="24"/>
          <w:szCs w:val="24"/>
        </w:rPr>
        <w:t xml:space="preserve"> state</w:t>
      </w:r>
      <w:r w:rsidR="00BF4F77">
        <w:rPr>
          <w:sz w:val="24"/>
          <w:szCs w:val="24"/>
        </w:rPr>
        <w:t xml:space="preserve">) to 1 (members decide </w:t>
      </w:r>
      <w:r w:rsidR="00AB2472">
        <w:rPr>
          <w:sz w:val="24"/>
          <w:szCs w:val="24"/>
        </w:rPr>
        <w:t xml:space="preserve">collectively </w:t>
      </w:r>
      <w:r w:rsidR="00BF4F77">
        <w:rPr>
          <w:sz w:val="24"/>
          <w:szCs w:val="24"/>
        </w:rPr>
        <w:t>by simple or absolute majority)</w:t>
      </w:r>
      <w:r w:rsidRPr="009A4EB7">
        <w:rPr>
          <w:sz w:val="24"/>
          <w:szCs w:val="24"/>
        </w:rPr>
        <w:t>.</w:t>
      </w:r>
    </w:p>
    <w:p w14:paraId="33DFD985" w14:textId="076E8D2B" w:rsidR="001F08A4" w:rsidRPr="009A4EB7" w:rsidRDefault="00BF4F77" w:rsidP="009A4EB7">
      <w:pPr>
        <w:pStyle w:val="ListParagraph"/>
        <w:numPr>
          <w:ilvl w:val="0"/>
          <w:numId w:val="11"/>
        </w:numPr>
        <w:jc w:val="both"/>
        <w:rPr>
          <w:sz w:val="24"/>
          <w:szCs w:val="24"/>
        </w:rPr>
      </w:pPr>
      <w:r>
        <w:rPr>
          <w:sz w:val="24"/>
          <w:szCs w:val="24"/>
        </w:rPr>
        <w:t>Decisions in each decision area</w:t>
      </w:r>
      <w:r w:rsidR="001F08A4" w:rsidRPr="009A4EB7">
        <w:rPr>
          <w:sz w:val="24"/>
          <w:szCs w:val="24"/>
        </w:rPr>
        <w:t xml:space="preserve"> </w:t>
      </w:r>
      <w:r>
        <w:rPr>
          <w:sz w:val="24"/>
          <w:szCs w:val="24"/>
        </w:rPr>
        <w:t xml:space="preserve">are assessed on whether they require </w:t>
      </w:r>
      <w:r w:rsidR="001F08A4" w:rsidRPr="00BF4F77">
        <w:rPr>
          <w:sz w:val="24"/>
          <w:szCs w:val="24"/>
        </w:rPr>
        <w:t xml:space="preserve">ratiﬁcation </w:t>
      </w:r>
      <w:r>
        <w:rPr>
          <w:sz w:val="24"/>
          <w:szCs w:val="24"/>
        </w:rPr>
        <w:t xml:space="preserve">and whether they are </w:t>
      </w:r>
      <w:r w:rsidRPr="00BF4F77">
        <w:rPr>
          <w:sz w:val="24"/>
          <w:szCs w:val="24"/>
        </w:rPr>
        <w:t>binding</w:t>
      </w:r>
      <w:r>
        <w:rPr>
          <w:sz w:val="24"/>
          <w:szCs w:val="24"/>
        </w:rPr>
        <w:t xml:space="preserve">, which combined produce a weight </w:t>
      </w:r>
      <w:r w:rsidR="00AB2472">
        <w:rPr>
          <w:sz w:val="24"/>
          <w:szCs w:val="24"/>
        </w:rPr>
        <w:t xml:space="preserve">factor for each </w:t>
      </w:r>
      <w:r w:rsidR="00A925F8">
        <w:rPr>
          <w:sz w:val="24"/>
          <w:szCs w:val="24"/>
        </w:rPr>
        <w:t>decision area</w:t>
      </w:r>
      <w:r w:rsidR="001F08A4" w:rsidRPr="009A4EB7">
        <w:rPr>
          <w:sz w:val="24"/>
          <w:szCs w:val="24"/>
        </w:rPr>
        <w:t>.</w:t>
      </w:r>
      <w:r>
        <w:rPr>
          <w:sz w:val="24"/>
          <w:szCs w:val="24"/>
        </w:rPr>
        <w:t xml:space="preserve"> These </w:t>
      </w:r>
      <w:r w:rsidRPr="00BF4F77">
        <w:rPr>
          <w:b/>
          <w:bCs/>
          <w:sz w:val="24"/>
          <w:szCs w:val="24"/>
        </w:rPr>
        <w:t>weights</w:t>
      </w:r>
      <w:r>
        <w:rPr>
          <w:sz w:val="24"/>
          <w:szCs w:val="24"/>
        </w:rPr>
        <w:t xml:space="preserve"> range from 0.063 (ratification required by all member states &amp; not binding) to 1 (no ratification &amp; binding).</w:t>
      </w:r>
    </w:p>
    <w:p w14:paraId="188433D7" w14:textId="4E24E62C" w:rsidR="001F08A4" w:rsidRPr="00A925F8" w:rsidRDefault="00BF4F77" w:rsidP="004439BB">
      <w:pPr>
        <w:pStyle w:val="ListParagraph"/>
        <w:numPr>
          <w:ilvl w:val="0"/>
          <w:numId w:val="11"/>
        </w:numPr>
        <w:jc w:val="both"/>
        <w:rPr>
          <w:sz w:val="24"/>
          <w:szCs w:val="24"/>
        </w:rPr>
      </w:pPr>
      <w:r w:rsidRPr="00A925F8">
        <w:rPr>
          <w:sz w:val="24"/>
          <w:szCs w:val="24"/>
        </w:rPr>
        <w:t xml:space="preserve">Calculating </w:t>
      </w:r>
      <w:r w:rsidRPr="00A925F8">
        <w:rPr>
          <w:b/>
          <w:bCs/>
          <w:sz w:val="24"/>
          <w:szCs w:val="24"/>
        </w:rPr>
        <w:t xml:space="preserve">pooling in </w:t>
      </w:r>
      <w:r w:rsidR="009A4EB7" w:rsidRPr="00A925F8">
        <w:rPr>
          <w:b/>
          <w:bCs/>
          <w:sz w:val="24"/>
          <w:szCs w:val="24"/>
        </w:rPr>
        <w:t>agenda setting</w:t>
      </w:r>
      <w:r w:rsidRPr="00A925F8">
        <w:rPr>
          <w:b/>
          <w:bCs/>
          <w:sz w:val="24"/>
          <w:szCs w:val="24"/>
        </w:rPr>
        <w:t xml:space="preserve"> (pool_agenda)</w:t>
      </w:r>
      <w:r w:rsidRPr="00A925F8">
        <w:rPr>
          <w:sz w:val="24"/>
          <w:szCs w:val="24"/>
        </w:rPr>
        <w:t xml:space="preserve">. We average </w:t>
      </w:r>
      <w:r w:rsidR="009A4EB7" w:rsidRPr="00A925F8">
        <w:rPr>
          <w:sz w:val="24"/>
          <w:szCs w:val="24"/>
        </w:rPr>
        <w:t>v</w:t>
      </w:r>
      <w:r w:rsidR="001F08A4" w:rsidRPr="00A925F8">
        <w:rPr>
          <w:sz w:val="24"/>
          <w:szCs w:val="24"/>
        </w:rPr>
        <w:t>oting scores for all state</w:t>
      </w:r>
      <w:r w:rsidR="000938CC">
        <w:rPr>
          <w:sz w:val="24"/>
          <w:szCs w:val="24"/>
        </w:rPr>
        <w:t xml:space="preserve"> controlled</w:t>
      </w:r>
      <w:r w:rsidR="001F08A4" w:rsidRPr="00A925F8">
        <w:rPr>
          <w:sz w:val="24"/>
          <w:szCs w:val="24"/>
        </w:rPr>
        <w:t xml:space="preserve"> bodies that participate in agenda setting </w:t>
      </w:r>
      <w:r w:rsidR="009A4EB7" w:rsidRPr="00A925F8">
        <w:rPr>
          <w:sz w:val="24"/>
          <w:szCs w:val="24"/>
        </w:rPr>
        <w:t>for</w:t>
      </w:r>
      <w:r w:rsidR="001F08A4" w:rsidRPr="00A925F8">
        <w:rPr>
          <w:sz w:val="24"/>
          <w:szCs w:val="24"/>
        </w:rPr>
        <w:t xml:space="preserve"> each decision area (with an adjustment when an IO has more than one policy stream). This score is multiplied by the weight for bindingness and ratiﬁcation for that decision area. This produces an agenda setting score for each decision area</w:t>
      </w:r>
      <w:r w:rsidR="00A925F8" w:rsidRPr="00A925F8">
        <w:rPr>
          <w:sz w:val="24"/>
          <w:szCs w:val="24"/>
        </w:rPr>
        <w:t>, and pooling in agenda setting is the average of these six scores.</w:t>
      </w:r>
    </w:p>
    <w:p w14:paraId="0265677D" w14:textId="2DAD1E90" w:rsidR="001F08A4" w:rsidRPr="009A4EB7" w:rsidRDefault="00A925F8" w:rsidP="009A4EB7">
      <w:pPr>
        <w:pStyle w:val="ListParagraph"/>
        <w:numPr>
          <w:ilvl w:val="0"/>
          <w:numId w:val="11"/>
        </w:numPr>
        <w:jc w:val="both"/>
        <w:rPr>
          <w:sz w:val="24"/>
          <w:szCs w:val="24"/>
        </w:rPr>
      </w:pPr>
      <w:r w:rsidRPr="00A925F8">
        <w:rPr>
          <w:b/>
          <w:bCs/>
          <w:sz w:val="24"/>
          <w:szCs w:val="24"/>
        </w:rPr>
        <w:lastRenderedPageBreak/>
        <w:t xml:space="preserve">Calculating pooling in </w:t>
      </w:r>
      <w:r w:rsidR="009A4EB7" w:rsidRPr="00A925F8">
        <w:rPr>
          <w:b/>
          <w:bCs/>
          <w:sz w:val="24"/>
          <w:szCs w:val="24"/>
        </w:rPr>
        <w:t>final decision</w:t>
      </w:r>
      <w:r>
        <w:rPr>
          <w:b/>
          <w:bCs/>
          <w:sz w:val="24"/>
          <w:szCs w:val="24"/>
        </w:rPr>
        <w:t xml:space="preserve"> (pool_final)</w:t>
      </w:r>
      <w:r>
        <w:rPr>
          <w:sz w:val="24"/>
          <w:szCs w:val="24"/>
        </w:rPr>
        <w:t xml:space="preserve">. Rather than averaging, we </w:t>
      </w:r>
      <w:r w:rsidR="009A4EB7">
        <w:rPr>
          <w:sz w:val="24"/>
          <w:szCs w:val="24"/>
        </w:rPr>
        <w:t>identif</w:t>
      </w:r>
      <w:r>
        <w:rPr>
          <w:sz w:val="24"/>
          <w:szCs w:val="24"/>
        </w:rPr>
        <w:t>y</w:t>
      </w:r>
      <w:r w:rsidR="009A4EB7">
        <w:rPr>
          <w:sz w:val="24"/>
          <w:szCs w:val="24"/>
        </w:rPr>
        <w:t xml:space="preserve"> </w:t>
      </w:r>
      <w:r>
        <w:rPr>
          <w:sz w:val="24"/>
          <w:szCs w:val="24"/>
        </w:rPr>
        <w:t xml:space="preserve">the IO body </w:t>
      </w:r>
      <w:r w:rsidR="009A4EB7">
        <w:rPr>
          <w:sz w:val="24"/>
          <w:szCs w:val="24"/>
        </w:rPr>
        <w:t xml:space="preserve">that has </w:t>
      </w:r>
      <w:r w:rsidR="001F08A4" w:rsidRPr="009A4EB7">
        <w:rPr>
          <w:sz w:val="24"/>
          <w:szCs w:val="24"/>
        </w:rPr>
        <w:t xml:space="preserve">the lowest (i.e least majoritarian) voting score </w:t>
      </w:r>
      <w:r>
        <w:rPr>
          <w:sz w:val="24"/>
          <w:szCs w:val="24"/>
        </w:rPr>
        <w:t xml:space="preserve">in final decision </w:t>
      </w:r>
      <w:r w:rsidR="001F08A4" w:rsidRPr="009A4EB7">
        <w:rPr>
          <w:sz w:val="24"/>
          <w:szCs w:val="24"/>
        </w:rPr>
        <w:t>in each decision area (with an adjustment when an IO has more than one policy stream). This voting score is multiplied by the weight for bindingness and ratiﬁcation in that decision area</w:t>
      </w:r>
      <w:r>
        <w:rPr>
          <w:sz w:val="24"/>
          <w:szCs w:val="24"/>
        </w:rPr>
        <w:t>, and pooling in final decision is the average of these six scores</w:t>
      </w:r>
      <w:r w:rsidR="001F08A4" w:rsidRPr="009A4EB7">
        <w:rPr>
          <w:sz w:val="24"/>
          <w:szCs w:val="24"/>
        </w:rPr>
        <w:t>.</w:t>
      </w:r>
    </w:p>
    <w:p w14:paraId="7CE40A8B" w14:textId="1EFFBA08" w:rsidR="00A925F8" w:rsidRDefault="00A925F8" w:rsidP="00BA176F">
      <w:pPr>
        <w:pStyle w:val="ListParagraph"/>
        <w:numPr>
          <w:ilvl w:val="0"/>
          <w:numId w:val="11"/>
        </w:numPr>
        <w:jc w:val="both"/>
        <w:rPr>
          <w:sz w:val="24"/>
          <w:szCs w:val="24"/>
        </w:rPr>
      </w:pPr>
      <w:r w:rsidRPr="00AF02E0">
        <w:rPr>
          <w:b/>
          <w:bCs/>
          <w:sz w:val="24"/>
          <w:szCs w:val="24"/>
        </w:rPr>
        <w:t xml:space="preserve">Pooling </w:t>
      </w:r>
      <w:r w:rsidRPr="00AF02E0">
        <w:rPr>
          <w:sz w:val="24"/>
          <w:szCs w:val="24"/>
        </w:rPr>
        <w:t>for an IO-year is the average of pooling in agenda setting (pool_agenda) and pooling in final decision (pool_decision)</w:t>
      </w:r>
      <w:r w:rsidR="001F08A4" w:rsidRPr="00AF02E0">
        <w:rPr>
          <w:sz w:val="24"/>
          <w:szCs w:val="24"/>
        </w:rPr>
        <w:t>.</w:t>
      </w:r>
      <w:r w:rsidR="00F12CB4" w:rsidRPr="009A4EB7">
        <w:rPr>
          <w:rStyle w:val="FootnoteReference"/>
          <w:sz w:val="24"/>
          <w:szCs w:val="24"/>
        </w:rPr>
        <w:footnoteReference w:id="4"/>
      </w:r>
    </w:p>
    <w:p w14:paraId="53908B1D" w14:textId="77777777" w:rsidR="00837680" w:rsidRPr="00AF02E0" w:rsidRDefault="00837680" w:rsidP="00837680">
      <w:pPr>
        <w:pStyle w:val="ListParagraph"/>
        <w:jc w:val="both"/>
        <w:rPr>
          <w:sz w:val="24"/>
          <w:szCs w:val="24"/>
        </w:rPr>
      </w:pPr>
    </w:p>
    <w:p w14:paraId="448D08F4" w14:textId="751F5F02" w:rsidR="00837680" w:rsidRPr="00837680" w:rsidRDefault="00837680" w:rsidP="00837680">
      <w:pPr>
        <w:pStyle w:val="Heading2"/>
        <w:spacing w:after="240"/>
        <w:rPr>
          <w:rFonts w:cstheme="majorHAnsi"/>
          <w:b/>
          <w:bCs/>
          <w:i/>
          <w:iCs/>
          <w:color w:val="538135" w:themeColor="accent6" w:themeShade="BF"/>
        </w:rPr>
      </w:pPr>
      <w:bookmarkStart w:id="10" w:name="_Toc73386189"/>
      <w:bookmarkStart w:id="11" w:name="_Hlk72867285"/>
      <w:r w:rsidRPr="00837680">
        <w:rPr>
          <w:rFonts w:cstheme="majorHAnsi"/>
          <w:b/>
          <w:bCs/>
          <w:i/>
          <w:iCs/>
          <w:color w:val="538135" w:themeColor="accent6" w:themeShade="BF"/>
        </w:rPr>
        <w:t>Calculation</w:t>
      </w:r>
      <w:bookmarkEnd w:id="10"/>
    </w:p>
    <w:p w14:paraId="4F8CC06B" w14:textId="55DE3B26" w:rsidR="00837680" w:rsidRDefault="00837680" w:rsidP="00837680">
      <w:pPr>
        <w:jc w:val="both"/>
        <w:rPr>
          <w:sz w:val="24"/>
          <w:szCs w:val="24"/>
        </w:rPr>
      </w:pPr>
      <w:r w:rsidRPr="00837680">
        <w:rPr>
          <w:sz w:val="24"/>
          <w:szCs w:val="24"/>
        </w:rPr>
        <w:t xml:space="preserve">Please apply the do file </w:t>
      </w:r>
      <w:r w:rsidRPr="00837680">
        <w:rPr>
          <w:b/>
          <w:bCs/>
          <w:sz w:val="24"/>
          <w:szCs w:val="24"/>
        </w:rPr>
        <w:t>combined DelPool_Oct 2019.do</w:t>
      </w:r>
      <w:r w:rsidRPr="00837680">
        <w:rPr>
          <w:sz w:val="24"/>
          <w:szCs w:val="24"/>
        </w:rPr>
        <w:t xml:space="preserve"> to MIA-Master.dta to produce the delegation and pooling estimates, and their components.</w:t>
      </w:r>
    </w:p>
    <w:p w14:paraId="499003A3" w14:textId="77777777" w:rsidR="00837680" w:rsidRPr="00837680" w:rsidRDefault="00837680" w:rsidP="00837680">
      <w:pPr>
        <w:jc w:val="both"/>
        <w:rPr>
          <w:sz w:val="24"/>
          <w:szCs w:val="24"/>
        </w:rPr>
      </w:pPr>
    </w:p>
    <w:p w14:paraId="78E46472" w14:textId="70493BEE" w:rsidR="0026306C" w:rsidRPr="009D3937" w:rsidRDefault="0026306C" w:rsidP="00837680">
      <w:pPr>
        <w:pStyle w:val="Heading1"/>
        <w:spacing w:after="240"/>
        <w:rPr>
          <w:rFonts w:cstheme="majorHAnsi"/>
          <w:b/>
          <w:bCs/>
        </w:rPr>
      </w:pPr>
      <w:bookmarkStart w:id="12" w:name="_Toc73386190"/>
      <w:r w:rsidRPr="009D3937">
        <w:rPr>
          <w:rFonts w:cstheme="majorHAnsi"/>
          <w:b/>
          <w:bCs/>
          <w:color w:val="538135" w:themeColor="accent6" w:themeShade="BF"/>
        </w:rPr>
        <w:t>Sources</w:t>
      </w:r>
      <w:bookmarkEnd w:id="12"/>
      <w:r w:rsidRPr="009D3937">
        <w:rPr>
          <w:rFonts w:cstheme="majorHAnsi"/>
          <w:b/>
          <w:bCs/>
        </w:rPr>
        <w:t xml:space="preserve"> </w:t>
      </w:r>
    </w:p>
    <w:p w14:paraId="650AB7EC" w14:textId="3EB60A99" w:rsidR="00D5792D" w:rsidRPr="00217ADF" w:rsidRDefault="00D5792D" w:rsidP="00D5792D">
      <w:pPr>
        <w:spacing w:after="120" w:line="240" w:lineRule="auto"/>
        <w:jc w:val="both"/>
        <w:rPr>
          <w:sz w:val="24"/>
          <w:szCs w:val="24"/>
        </w:rPr>
      </w:pPr>
      <w:r w:rsidRPr="00A925F8">
        <w:rPr>
          <w:sz w:val="28"/>
          <w:szCs w:val="28"/>
        </w:rPr>
        <w:t>For conceptualiz</w:t>
      </w:r>
      <w:r w:rsidR="00A925F8">
        <w:rPr>
          <w:sz w:val="28"/>
          <w:szCs w:val="28"/>
        </w:rPr>
        <w:t>ing</w:t>
      </w:r>
      <w:r w:rsidRPr="00A925F8">
        <w:rPr>
          <w:sz w:val="28"/>
          <w:szCs w:val="28"/>
        </w:rPr>
        <w:t xml:space="preserve"> international authority and its operationalization, </w:t>
      </w:r>
      <w:r w:rsidR="00A925F8">
        <w:rPr>
          <w:sz w:val="28"/>
          <w:szCs w:val="28"/>
        </w:rPr>
        <w:t xml:space="preserve">please </w:t>
      </w:r>
      <w:r w:rsidRPr="00A925F8">
        <w:rPr>
          <w:sz w:val="28"/>
          <w:szCs w:val="28"/>
        </w:rPr>
        <w:t>see</w:t>
      </w:r>
      <w:r w:rsidRPr="00217ADF">
        <w:rPr>
          <w:sz w:val="24"/>
          <w:szCs w:val="24"/>
        </w:rPr>
        <w:t>:</w:t>
      </w:r>
    </w:p>
    <w:p w14:paraId="673ED138" w14:textId="3F769BBB" w:rsidR="00D5792D" w:rsidRDefault="00D5792D" w:rsidP="00D5792D">
      <w:pPr>
        <w:spacing w:after="120" w:line="240" w:lineRule="auto"/>
        <w:ind w:left="288"/>
        <w:jc w:val="both"/>
        <w:rPr>
          <w:sz w:val="24"/>
          <w:szCs w:val="24"/>
        </w:rPr>
      </w:pPr>
      <w:r>
        <w:rPr>
          <w:rFonts w:ascii="Calibri" w:eastAsia="Times New Roman" w:hAnsi="Calibri" w:cs="Calibri"/>
          <w:sz w:val="24"/>
          <w:szCs w:val="24"/>
        </w:rPr>
        <w:t xml:space="preserve">Liesbet Hooghe, </w:t>
      </w:r>
      <w:r w:rsidRPr="002D5149">
        <w:rPr>
          <w:rFonts w:ascii="Calibri" w:eastAsia="Times New Roman" w:hAnsi="Calibri" w:cs="Calibri"/>
          <w:sz w:val="24"/>
          <w:szCs w:val="24"/>
        </w:rPr>
        <w:t>Gary Marks, Tobias Lenz, Jeanine Bezuijen, Besir Ceka, Svet Derderyan</w:t>
      </w:r>
      <w:r>
        <w:rPr>
          <w:rFonts w:ascii="Calibri" w:eastAsia="Times New Roman" w:hAnsi="Calibri" w:cs="Calibri"/>
          <w:sz w:val="24"/>
          <w:szCs w:val="24"/>
        </w:rPr>
        <w:t>.</w:t>
      </w:r>
      <w:r w:rsidRPr="002D5149">
        <w:rPr>
          <w:rFonts w:ascii="Calibri" w:eastAsia="Times New Roman" w:hAnsi="Calibri" w:cs="Calibri"/>
          <w:b/>
          <w:sz w:val="24"/>
          <w:szCs w:val="24"/>
        </w:rPr>
        <w:t xml:space="preserve"> 2017.</w:t>
      </w:r>
      <w:r w:rsidRPr="002D5149">
        <w:rPr>
          <w:rFonts w:ascii="Calibri" w:eastAsia="Times New Roman" w:hAnsi="Calibri" w:cs="Calibri"/>
          <w:i/>
          <w:sz w:val="24"/>
          <w:szCs w:val="24"/>
        </w:rPr>
        <w:t xml:space="preserve"> Measuring International Authority.</w:t>
      </w:r>
      <w:r w:rsidRPr="005A4A9A">
        <w:rPr>
          <w:sz w:val="24"/>
          <w:szCs w:val="24"/>
        </w:rPr>
        <w:t xml:space="preserve"> </w:t>
      </w:r>
      <w:r w:rsidRPr="00D5792D">
        <w:rPr>
          <w:sz w:val="24"/>
          <w:szCs w:val="24"/>
        </w:rPr>
        <w:t>Chapter One: Measuring International Authority</w:t>
      </w:r>
      <w:r>
        <w:rPr>
          <w:sz w:val="24"/>
          <w:szCs w:val="24"/>
        </w:rPr>
        <w:t>. OUP: 34-106.</w:t>
      </w:r>
    </w:p>
    <w:p w14:paraId="51B26535" w14:textId="6ECDEFCA" w:rsidR="00D5792D" w:rsidRDefault="00D5792D" w:rsidP="00D5792D">
      <w:pPr>
        <w:spacing w:after="120" w:line="240" w:lineRule="auto"/>
        <w:jc w:val="both"/>
        <w:rPr>
          <w:sz w:val="24"/>
          <w:szCs w:val="24"/>
        </w:rPr>
      </w:pPr>
      <w:r w:rsidRPr="00A925F8">
        <w:rPr>
          <w:sz w:val="28"/>
          <w:szCs w:val="28"/>
        </w:rPr>
        <w:t xml:space="preserve">For </w:t>
      </w:r>
      <w:r w:rsidR="00A925F8" w:rsidRPr="00A925F8">
        <w:rPr>
          <w:sz w:val="28"/>
          <w:szCs w:val="28"/>
        </w:rPr>
        <w:t xml:space="preserve">conceptualizing </w:t>
      </w:r>
      <w:r w:rsidRPr="00A925F8">
        <w:rPr>
          <w:sz w:val="28"/>
          <w:szCs w:val="28"/>
        </w:rPr>
        <w:t xml:space="preserve">general purpose vs. task-specific international organization, and implications for contract, policy scope, and membership, please </w:t>
      </w:r>
      <w:r w:rsidR="00A925F8">
        <w:rPr>
          <w:sz w:val="28"/>
          <w:szCs w:val="28"/>
        </w:rPr>
        <w:t>see</w:t>
      </w:r>
      <w:r>
        <w:rPr>
          <w:sz w:val="24"/>
          <w:szCs w:val="24"/>
        </w:rPr>
        <w:t xml:space="preserve">: </w:t>
      </w:r>
    </w:p>
    <w:p w14:paraId="0B0F5B02" w14:textId="77777777" w:rsidR="00D5792D" w:rsidRDefault="00D5792D" w:rsidP="00D5792D">
      <w:pPr>
        <w:spacing w:after="120" w:line="240" w:lineRule="auto"/>
        <w:ind w:left="288"/>
        <w:jc w:val="both"/>
        <w:rPr>
          <w:i/>
          <w:iCs/>
          <w:sz w:val="24"/>
          <w:szCs w:val="24"/>
        </w:rPr>
      </w:pPr>
      <w:r>
        <w:rPr>
          <w:sz w:val="24"/>
          <w:szCs w:val="24"/>
        </w:rPr>
        <w:t xml:space="preserve">Liesbet Hooghe, Tobias Lenz, and Gary Marks. 2019. </w:t>
      </w:r>
      <w:r>
        <w:rPr>
          <w:i/>
          <w:iCs/>
          <w:sz w:val="24"/>
          <w:szCs w:val="24"/>
        </w:rPr>
        <w:t xml:space="preserve">A Theory of International Organization. </w:t>
      </w:r>
      <w:r>
        <w:rPr>
          <w:sz w:val="24"/>
          <w:szCs w:val="24"/>
        </w:rPr>
        <w:t>Chapter Four: The Basic Set-up: How International Organizations Vary. OUP, 44-59.</w:t>
      </w:r>
      <w:r>
        <w:rPr>
          <w:i/>
          <w:iCs/>
          <w:sz w:val="24"/>
          <w:szCs w:val="24"/>
        </w:rPr>
        <w:t xml:space="preserve"> </w:t>
      </w:r>
    </w:p>
    <w:p w14:paraId="25889079" w14:textId="0DB4DBEE" w:rsidR="00D5792D" w:rsidRPr="00A925F8" w:rsidRDefault="00D5792D" w:rsidP="00D5792D">
      <w:pPr>
        <w:spacing w:after="120" w:line="240" w:lineRule="auto"/>
        <w:jc w:val="both"/>
        <w:rPr>
          <w:sz w:val="28"/>
          <w:szCs w:val="28"/>
        </w:rPr>
      </w:pPr>
      <w:r w:rsidRPr="00A925F8">
        <w:rPr>
          <w:sz w:val="28"/>
          <w:szCs w:val="28"/>
        </w:rPr>
        <w:t xml:space="preserve">For a step-by-step guide </w:t>
      </w:r>
      <w:r w:rsidR="00A925F8">
        <w:rPr>
          <w:sz w:val="28"/>
          <w:szCs w:val="28"/>
        </w:rPr>
        <w:t>on</w:t>
      </w:r>
      <w:r w:rsidRPr="00A925F8">
        <w:rPr>
          <w:sz w:val="28"/>
          <w:szCs w:val="28"/>
        </w:rPr>
        <w:t xml:space="preserve"> how to aggregate scores for delegation and pooling into MIA, please </w:t>
      </w:r>
      <w:r w:rsidR="00A925F8">
        <w:rPr>
          <w:sz w:val="28"/>
          <w:szCs w:val="28"/>
        </w:rPr>
        <w:t>see</w:t>
      </w:r>
      <w:r w:rsidRPr="00A925F8">
        <w:rPr>
          <w:sz w:val="28"/>
          <w:szCs w:val="28"/>
        </w:rPr>
        <w:t xml:space="preserve">: </w:t>
      </w:r>
    </w:p>
    <w:p w14:paraId="031B27AF" w14:textId="77777777" w:rsidR="00D5792D" w:rsidRDefault="00D5792D" w:rsidP="00D5792D">
      <w:pPr>
        <w:spacing w:after="120" w:line="240" w:lineRule="auto"/>
        <w:ind w:left="288"/>
        <w:jc w:val="both"/>
        <w:rPr>
          <w:sz w:val="24"/>
          <w:szCs w:val="24"/>
        </w:rPr>
      </w:pPr>
      <w:r>
        <w:rPr>
          <w:rFonts w:ascii="Calibri" w:eastAsia="Times New Roman" w:hAnsi="Calibri" w:cs="Calibri"/>
          <w:sz w:val="24"/>
          <w:szCs w:val="24"/>
        </w:rPr>
        <w:t xml:space="preserve">Liesbet Hooghe, </w:t>
      </w:r>
      <w:r w:rsidRPr="002D5149">
        <w:rPr>
          <w:rFonts w:ascii="Calibri" w:eastAsia="Times New Roman" w:hAnsi="Calibri" w:cs="Calibri"/>
          <w:sz w:val="24"/>
          <w:szCs w:val="24"/>
        </w:rPr>
        <w:t>Gary Marks, Tobias Lenz, Jeanine Bezuijen, Besir Ceka, Svet Derderyan</w:t>
      </w:r>
      <w:r>
        <w:rPr>
          <w:rFonts w:ascii="Calibri" w:eastAsia="Times New Roman" w:hAnsi="Calibri" w:cs="Calibri"/>
          <w:sz w:val="24"/>
          <w:szCs w:val="24"/>
        </w:rPr>
        <w:t>.</w:t>
      </w:r>
      <w:r w:rsidRPr="002D5149">
        <w:rPr>
          <w:rFonts w:ascii="Calibri" w:eastAsia="Times New Roman" w:hAnsi="Calibri" w:cs="Calibri"/>
          <w:b/>
          <w:sz w:val="24"/>
          <w:szCs w:val="24"/>
        </w:rPr>
        <w:t xml:space="preserve"> 2017.</w:t>
      </w:r>
      <w:r w:rsidRPr="002D5149">
        <w:rPr>
          <w:rFonts w:ascii="Calibri" w:eastAsia="Times New Roman" w:hAnsi="Calibri" w:cs="Calibri"/>
          <w:i/>
          <w:sz w:val="24"/>
          <w:szCs w:val="24"/>
        </w:rPr>
        <w:t xml:space="preserve"> Measuring International Authority.</w:t>
      </w:r>
      <w:r w:rsidRPr="005A4A9A">
        <w:rPr>
          <w:sz w:val="24"/>
          <w:szCs w:val="24"/>
        </w:rPr>
        <w:t xml:space="preserve"> </w:t>
      </w:r>
      <w:hyperlink r:id="rId9" w:history="1">
        <w:r w:rsidRPr="00DD1494">
          <w:rPr>
            <w:rStyle w:val="Hyperlink"/>
            <w:sz w:val="24"/>
            <w:szCs w:val="24"/>
          </w:rPr>
          <w:t>Chapter T</w:t>
        </w:r>
        <w:r>
          <w:rPr>
            <w:rStyle w:val="Hyperlink"/>
            <w:sz w:val="24"/>
            <w:szCs w:val="24"/>
          </w:rPr>
          <w:t>hree</w:t>
        </w:r>
        <w:r w:rsidRPr="00DD1494">
          <w:rPr>
            <w:rStyle w:val="Hyperlink"/>
            <w:sz w:val="24"/>
            <w:szCs w:val="24"/>
          </w:rPr>
          <w:t xml:space="preserve">: </w:t>
        </w:r>
        <w:r>
          <w:rPr>
            <w:rStyle w:val="Hyperlink"/>
            <w:sz w:val="24"/>
            <w:szCs w:val="24"/>
          </w:rPr>
          <w:t>From Scoring to Aggregation</w:t>
        </w:r>
      </w:hyperlink>
      <w:r>
        <w:rPr>
          <w:rStyle w:val="Hyperlink"/>
          <w:sz w:val="24"/>
          <w:szCs w:val="24"/>
        </w:rPr>
        <w:t>—The MIA Dataset</w:t>
      </w:r>
      <w:r>
        <w:rPr>
          <w:sz w:val="24"/>
          <w:szCs w:val="24"/>
        </w:rPr>
        <w:t>. OUP: 107-132.</w:t>
      </w:r>
    </w:p>
    <w:p w14:paraId="18DA9E1D" w14:textId="13BEAF4A" w:rsidR="00FB551C" w:rsidRPr="00A925F8" w:rsidRDefault="0046507C" w:rsidP="003B760B">
      <w:pPr>
        <w:spacing w:after="120" w:line="240" w:lineRule="auto"/>
        <w:jc w:val="both"/>
        <w:rPr>
          <w:sz w:val="28"/>
          <w:szCs w:val="28"/>
        </w:rPr>
      </w:pPr>
      <w:r w:rsidRPr="00A925F8">
        <w:rPr>
          <w:sz w:val="28"/>
          <w:szCs w:val="28"/>
        </w:rPr>
        <w:t>For a detailed discussion of the coding schema</w:t>
      </w:r>
      <w:r w:rsidR="00E60ECF" w:rsidRPr="00A925F8">
        <w:rPr>
          <w:sz w:val="28"/>
          <w:szCs w:val="28"/>
        </w:rPr>
        <w:t xml:space="preserve"> and its application</w:t>
      </w:r>
      <w:r w:rsidRPr="00A925F8">
        <w:rPr>
          <w:sz w:val="28"/>
          <w:szCs w:val="28"/>
        </w:rPr>
        <w:t xml:space="preserve">, please </w:t>
      </w:r>
      <w:r w:rsidR="00A925F8">
        <w:rPr>
          <w:sz w:val="28"/>
          <w:szCs w:val="28"/>
        </w:rPr>
        <w:t>consult</w:t>
      </w:r>
      <w:r w:rsidRPr="00A925F8">
        <w:rPr>
          <w:sz w:val="28"/>
          <w:szCs w:val="28"/>
        </w:rPr>
        <w:t>:</w:t>
      </w:r>
    </w:p>
    <w:p w14:paraId="0AB00012" w14:textId="728944BC" w:rsidR="00D5792D" w:rsidRDefault="009B6784" w:rsidP="00387339">
      <w:pPr>
        <w:spacing w:after="120" w:line="240" w:lineRule="auto"/>
        <w:ind w:left="288"/>
        <w:jc w:val="both"/>
        <w:rPr>
          <w:sz w:val="24"/>
          <w:szCs w:val="24"/>
        </w:rPr>
      </w:pPr>
      <w:r>
        <w:rPr>
          <w:rFonts w:ascii="Calibri" w:eastAsia="Times New Roman" w:hAnsi="Calibri" w:cs="Calibri"/>
          <w:sz w:val="24"/>
          <w:szCs w:val="24"/>
        </w:rPr>
        <w:t xml:space="preserve">Liesbet Hooghe, </w:t>
      </w:r>
      <w:r w:rsidRPr="002D5149">
        <w:rPr>
          <w:rFonts w:ascii="Calibri" w:eastAsia="Times New Roman" w:hAnsi="Calibri" w:cs="Calibri"/>
          <w:sz w:val="24"/>
          <w:szCs w:val="24"/>
        </w:rPr>
        <w:t>Gary Marks, Tobias Lenz, Jeanine Bezuijen, Besir Ceka, Svet Derderyan</w:t>
      </w:r>
      <w:r>
        <w:rPr>
          <w:rFonts w:ascii="Calibri" w:eastAsia="Times New Roman" w:hAnsi="Calibri" w:cs="Calibri"/>
          <w:sz w:val="24"/>
          <w:szCs w:val="24"/>
        </w:rPr>
        <w:t>.</w:t>
      </w:r>
      <w:r w:rsidRPr="002D5149">
        <w:rPr>
          <w:rFonts w:ascii="Calibri" w:eastAsia="Times New Roman" w:hAnsi="Calibri" w:cs="Calibri"/>
          <w:b/>
          <w:sz w:val="24"/>
          <w:szCs w:val="24"/>
        </w:rPr>
        <w:t xml:space="preserve"> 2017.</w:t>
      </w:r>
      <w:r w:rsidRPr="002D5149">
        <w:rPr>
          <w:rFonts w:ascii="Calibri" w:eastAsia="Times New Roman" w:hAnsi="Calibri" w:cs="Calibri"/>
          <w:i/>
          <w:sz w:val="24"/>
          <w:szCs w:val="24"/>
        </w:rPr>
        <w:t xml:space="preserve"> Measuring International Authority.</w:t>
      </w:r>
      <w:r w:rsidR="00217ADF" w:rsidRPr="005A4A9A">
        <w:rPr>
          <w:sz w:val="24"/>
          <w:szCs w:val="24"/>
        </w:rPr>
        <w:t xml:space="preserve"> </w:t>
      </w:r>
      <w:hyperlink r:id="rId10" w:history="1">
        <w:r w:rsidR="00AF3915" w:rsidRPr="00DD1494">
          <w:rPr>
            <w:rStyle w:val="Hyperlink"/>
            <w:sz w:val="24"/>
            <w:szCs w:val="24"/>
          </w:rPr>
          <w:t>Chapter T</w:t>
        </w:r>
        <w:r w:rsidR="00E60ECF">
          <w:rPr>
            <w:rStyle w:val="Hyperlink"/>
            <w:sz w:val="24"/>
            <w:szCs w:val="24"/>
          </w:rPr>
          <w:t>wo</w:t>
        </w:r>
        <w:r w:rsidR="00AF3915" w:rsidRPr="00DD1494">
          <w:rPr>
            <w:rStyle w:val="Hyperlink"/>
            <w:sz w:val="24"/>
            <w:szCs w:val="24"/>
          </w:rPr>
          <w:t>: How We Apply the Coding Scheme</w:t>
        </w:r>
      </w:hyperlink>
      <w:r w:rsidR="00AF3915">
        <w:rPr>
          <w:sz w:val="24"/>
          <w:szCs w:val="24"/>
        </w:rPr>
        <w:t xml:space="preserve">. </w:t>
      </w:r>
      <w:r w:rsidR="00195DB8">
        <w:rPr>
          <w:sz w:val="24"/>
          <w:szCs w:val="24"/>
        </w:rPr>
        <w:t>OUP: 34-106.</w:t>
      </w:r>
    </w:p>
    <w:p w14:paraId="171EE539" w14:textId="77777777" w:rsidR="00D5792D" w:rsidRDefault="00D5792D">
      <w:pPr>
        <w:rPr>
          <w:sz w:val="24"/>
          <w:szCs w:val="24"/>
        </w:rPr>
      </w:pPr>
      <w:r>
        <w:rPr>
          <w:sz w:val="24"/>
          <w:szCs w:val="24"/>
        </w:rPr>
        <w:br w:type="page"/>
      </w:r>
    </w:p>
    <w:bookmarkEnd w:id="11"/>
    <w:p w14:paraId="48AEBCAE" w14:textId="77777777" w:rsidR="00E60ECF" w:rsidRDefault="00E60ECF" w:rsidP="00387339">
      <w:pPr>
        <w:spacing w:after="120" w:line="240" w:lineRule="auto"/>
        <w:ind w:left="288"/>
        <w:jc w:val="both"/>
        <w:rPr>
          <w:sz w:val="24"/>
          <w:szCs w:val="24"/>
        </w:rPr>
      </w:pPr>
    </w:p>
    <w:p w14:paraId="61D67D1A" w14:textId="4230EFD5" w:rsidR="00217ADF" w:rsidRPr="009D3937" w:rsidRDefault="003B760B" w:rsidP="003B760B">
      <w:pPr>
        <w:pStyle w:val="Heading1"/>
        <w:rPr>
          <w:rFonts w:cstheme="majorHAnsi"/>
          <w:b/>
          <w:bCs/>
          <w:color w:val="538135" w:themeColor="accent6" w:themeShade="BF"/>
        </w:rPr>
      </w:pPr>
      <w:bookmarkStart w:id="13" w:name="_Toc73386191"/>
      <w:bookmarkStart w:id="14" w:name="_Hlk72866427"/>
      <w:r w:rsidRPr="009D3937">
        <w:rPr>
          <w:rFonts w:cstheme="majorHAnsi"/>
          <w:b/>
          <w:bCs/>
          <w:color w:val="538135" w:themeColor="accent6" w:themeShade="BF"/>
        </w:rPr>
        <w:t>Table 2: Explanation of entries in excel</w:t>
      </w:r>
      <w:r w:rsidR="00BD0F87" w:rsidRPr="009D3937">
        <w:rPr>
          <w:rFonts w:cstheme="majorHAnsi"/>
          <w:b/>
          <w:bCs/>
          <w:color w:val="538135" w:themeColor="accent6" w:themeShade="BF"/>
        </w:rPr>
        <w:t>/stata</w:t>
      </w:r>
      <w:r w:rsidRPr="009D3937">
        <w:rPr>
          <w:rFonts w:cstheme="majorHAnsi"/>
          <w:b/>
          <w:bCs/>
          <w:color w:val="538135" w:themeColor="accent6" w:themeShade="BF"/>
        </w:rPr>
        <w:t xml:space="preserve"> file</w:t>
      </w:r>
      <w:bookmarkEnd w:id="13"/>
    </w:p>
    <w:bookmarkEnd w:id="14"/>
    <w:p w14:paraId="51B9FF32" w14:textId="77777777" w:rsidR="003B760B" w:rsidRPr="003B760B" w:rsidRDefault="003B760B" w:rsidP="003B760B"/>
    <w:tbl>
      <w:tblPr>
        <w:tblStyle w:val="TableGrid"/>
        <w:tblW w:w="10098" w:type="dxa"/>
        <w:tblLook w:val="04A0" w:firstRow="1" w:lastRow="0" w:firstColumn="1" w:lastColumn="0" w:noHBand="0" w:noVBand="1"/>
      </w:tblPr>
      <w:tblGrid>
        <w:gridCol w:w="2340"/>
        <w:gridCol w:w="1611"/>
        <w:gridCol w:w="6147"/>
      </w:tblGrid>
      <w:tr w:rsidR="00B61DB2" w:rsidRPr="005A4A9A" w14:paraId="0E55B4DA" w14:textId="77777777" w:rsidTr="0026306C">
        <w:trPr>
          <w:trHeight w:val="422"/>
        </w:trPr>
        <w:tc>
          <w:tcPr>
            <w:tcW w:w="2340" w:type="dxa"/>
            <w:tcBorders>
              <w:top w:val="single" w:sz="12" w:space="0" w:color="auto"/>
              <w:left w:val="nil"/>
              <w:bottom w:val="single" w:sz="12" w:space="0" w:color="auto"/>
            </w:tcBorders>
            <w:vAlign w:val="center"/>
          </w:tcPr>
          <w:p w14:paraId="53D8E1BE" w14:textId="77777777" w:rsidR="00B61DB2" w:rsidRPr="00423A58" w:rsidRDefault="00B61DB2" w:rsidP="00172478">
            <w:pPr>
              <w:rPr>
                <w:b/>
                <w:sz w:val="24"/>
                <w:szCs w:val="24"/>
              </w:rPr>
            </w:pPr>
            <w:r w:rsidRPr="00423A58">
              <w:rPr>
                <w:b/>
                <w:sz w:val="24"/>
                <w:szCs w:val="24"/>
              </w:rPr>
              <w:t>VARIABLE NAME</w:t>
            </w:r>
          </w:p>
        </w:tc>
        <w:tc>
          <w:tcPr>
            <w:tcW w:w="1611" w:type="dxa"/>
            <w:tcBorders>
              <w:top w:val="single" w:sz="12" w:space="0" w:color="auto"/>
              <w:bottom w:val="single" w:sz="12" w:space="0" w:color="auto"/>
            </w:tcBorders>
            <w:vAlign w:val="center"/>
          </w:tcPr>
          <w:p w14:paraId="42591508" w14:textId="77777777" w:rsidR="00B61DB2" w:rsidRPr="00423A58" w:rsidRDefault="00B61DB2" w:rsidP="00E26A37">
            <w:pPr>
              <w:jc w:val="center"/>
              <w:rPr>
                <w:b/>
                <w:sz w:val="24"/>
                <w:szCs w:val="24"/>
              </w:rPr>
            </w:pPr>
            <w:r w:rsidRPr="00423A58">
              <w:rPr>
                <w:b/>
                <w:sz w:val="24"/>
                <w:szCs w:val="24"/>
              </w:rPr>
              <w:t>RANGE</w:t>
            </w:r>
          </w:p>
        </w:tc>
        <w:tc>
          <w:tcPr>
            <w:tcW w:w="6147" w:type="dxa"/>
            <w:tcBorders>
              <w:top w:val="single" w:sz="12" w:space="0" w:color="auto"/>
              <w:bottom w:val="single" w:sz="12" w:space="0" w:color="auto"/>
              <w:right w:val="nil"/>
            </w:tcBorders>
            <w:vAlign w:val="center"/>
          </w:tcPr>
          <w:p w14:paraId="6E88BA08" w14:textId="77777777" w:rsidR="00B61DB2" w:rsidRPr="00423A58" w:rsidRDefault="00B61DB2" w:rsidP="00172478">
            <w:pPr>
              <w:rPr>
                <w:b/>
                <w:sz w:val="24"/>
                <w:szCs w:val="24"/>
              </w:rPr>
            </w:pPr>
            <w:r w:rsidRPr="00423A58">
              <w:rPr>
                <w:b/>
                <w:sz w:val="24"/>
                <w:szCs w:val="24"/>
              </w:rPr>
              <w:t>VALUES AND LABELS</w:t>
            </w:r>
          </w:p>
        </w:tc>
      </w:tr>
      <w:tr w:rsidR="0026306C" w:rsidRPr="005A4A9A" w14:paraId="1082270D" w14:textId="77777777" w:rsidTr="0026306C">
        <w:tc>
          <w:tcPr>
            <w:tcW w:w="2340" w:type="dxa"/>
            <w:tcBorders>
              <w:top w:val="single" w:sz="12" w:space="0" w:color="auto"/>
              <w:left w:val="nil"/>
              <w:bottom w:val="single" w:sz="6" w:space="0" w:color="auto"/>
            </w:tcBorders>
            <w:vAlign w:val="center"/>
          </w:tcPr>
          <w:p w14:paraId="3559A53D" w14:textId="2F64EF66" w:rsidR="0026306C" w:rsidRDefault="00387339" w:rsidP="0026306C">
            <w:pPr>
              <w:rPr>
                <w:sz w:val="24"/>
                <w:szCs w:val="24"/>
              </w:rPr>
            </w:pPr>
            <w:r>
              <w:rPr>
                <w:sz w:val="24"/>
                <w:szCs w:val="24"/>
              </w:rPr>
              <w:t>I</w:t>
            </w:r>
            <w:r w:rsidR="0026306C">
              <w:rPr>
                <w:sz w:val="24"/>
                <w:szCs w:val="24"/>
              </w:rPr>
              <w:t>oname</w:t>
            </w:r>
          </w:p>
        </w:tc>
        <w:tc>
          <w:tcPr>
            <w:tcW w:w="1611" w:type="dxa"/>
            <w:tcBorders>
              <w:top w:val="single" w:sz="12" w:space="0" w:color="auto"/>
              <w:bottom w:val="single" w:sz="6" w:space="0" w:color="auto"/>
            </w:tcBorders>
            <w:vAlign w:val="center"/>
          </w:tcPr>
          <w:p w14:paraId="4B24F66B" w14:textId="77777777" w:rsidR="0026306C" w:rsidRDefault="0026306C" w:rsidP="0026306C">
            <w:pPr>
              <w:jc w:val="center"/>
              <w:rPr>
                <w:sz w:val="24"/>
                <w:szCs w:val="24"/>
              </w:rPr>
            </w:pPr>
          </w:p>
        </w:tc>
        <w:tc>
          <w:tcPr>
            <w:tcW w:w="6147" w:type="dxa"/>
            <w:tcBorders>
              <w:top w:val="single" w:sz="12" w:space="0" w:color="auto"/>
              <w:bottom w:val="single" w:sz="6" w:space="0" w:color="auto"/>
              <w:right w:val="nil"/>
            </w:tcBorders>
            <w:vAlign w:val="center"/>
          </w:tcPr>
          <w:p w14:paraId="640E37DE" w14:textId="46BAE956" w:rsidR="0026306C" w:rsidRPr="00A30290" w:rsidRDefault="0026306C" w:rsidP="0026306C">
            <w:r>
              <w:t>Short name of international organization (acronym)</w:t>
            </w:r>
          </w:p>
        </w:tc>
      </w:tr>
      <w:tr w:rsidR="0026306C" w:rsidRPr="005A4A9A" w14:paraId="4C296503" w14:textId="77777777" w:rsidTr="0026306C">
        <w:tc>
          <w:tcPr>
            <w:tcW w:w="2340" w:type="dxa"/>
            <w:tcBorders>
              <w:top w:val="single" w:sz="6" w:space="0" w:color="auto"/>
              <w:left w:val="nil"/>
              <w:bottom w:val="single" w:sz="6" w:space="0" w:color="auto"/>
            </w:tcBorders>
            <w:vAlign w:val="center"/>
          </w:tcPr>
          <w:p w14:paraId="6292983C" w14:textId="63D92186" w:rsidR="0026306C" w:rsidRDefault="00387339" w:rsidP="0026306C">
            <w:pPr>
              <w:rPr>
                <w:sz w:val="24"/>
                <w:szCs w:val="24"/>
              </w:rPr>
            </w:pPr>
            <w:r>
              <w:rPr>
                <w:sz w:val="24"/>
                <w:szCs w:val="24"/>
              </w:rPr>
              <w:t>A</w:t>
            </w:r>
            <w:r w:rsidR="0026306C">
              <w:rPr>
                <w:sz w:val="24"/>
                <w:szCs w:val="24"/>
              </w:rPr>
              <w:t>cronym</w:t>
            </w:r>
          </w:p>
        </w:tc>
        <w:tc>
          <w:tcPr>
            <w:tcW w:w="1611" w:type="dxa"/>
            <w:tcBorders>
              <w:top w:val="single" w:sz="6" w:space="0" w:color="auto"/>
              <w:bottom w:val="single" w:sz="6" w:space="0" w:color="auto"/>
            </w:tcBorders>
            <w:vAlign w:val="center"/>
          </w:tcPr>
          <w:p w14:paraId="2CE71662" w14:textId="77777777" w:rsidR="0026306C" w:rsidRDefault="0026306C" w:rsidP="0026306C">
            <w:pPr>
              <w:jc w:val="center"/>
              <w:rPr>
                <w:sz w:val="24"/>
                <w:szCs w:val="24"/>
              </w:rPr>
            </w:pPr>
          </w:p>
        </w:tc>
        <w:tc>
          <w:tcPr>
            <w:tcW w:w="6147" w:type="dxa"/>
            <w:tcBorders>
              <w:top w:val="single" w:sz="6" w:space="0" w:color="auto"/>
              <w:bottom w:val="single" w:sz="6" w:space="0" w:color="auto"/>
              <w:right w:val="nil"/>
            </w:tcBorders>
            <w:vAlign w:val="center"/>
          </w:tcPr>
          <w:p w14:paraId="38526640" w14:textId="7DDA7297" w:rsidR="0026306C" w:rsidRDefault="0026306C" w:rsidP="0026306C">
            <w:r>
              <w:t>Full acronym of IO</w:t>
            </w:r>
          </w:p>
        </w:tc>
      </w:tr>
      <w:tr w:rsidR="005A4A9A" w:rsidRPr="005A4A9A" w14:paraId="106A8FE5" w14:textId="77777777" w:rsidTr="0026306C">
        <w:trPr>
          <w:trHeight w:val="422"/>
        </w:trPr>
        <w:tc>
          <w:tcPr>
            <w:tcW w:w="2340" w:type="dxa"/>
            <w:tcBorders>
              <w:top w:val="single" w:sz="6" w:space="0" w:color="auto"/>
              <w:left w:val="nil"/>
            </w:tcBorders>
            <w:vAlign w:val="center"/>
          </w:tcPr>
          <w:p w14:paraId="0907D110" w14:textId="4F714B03" w:rsidR="005A4A9A" w:rsidRPr="005A4A9A" w:rsidRDefault="00387339" w:rsidP="00172478">
            <w:pPr>
              <w:rPr>
                <w:sz w:val="24"/>
                <w:szCs w:val="24"/>
              </w:rPr>
            </w:pPr>
            <w:r>
              <w:rPr>
                <w:sz w:val="24"/>
                <w:szCs w:val="24"/>
              </w:rPr>
              <w:t>I</w:t>
            </w:r>
            <w:r w:rsidR="0026306C">
              <w:rPr>
                <w:sz w:val="24"/>
                <w:szCs w:val="24"/>
              </w:rPr>
              <w:t>onumber</w:t>
            </w:r>
          </w:p>
        </w:tc>
        <w:tc>
          <w:tcPr>
            <w:tcW w:w="1611" w:type="dxa"/>
            <w:tcBorders>
              <w:top w:val="single" w:sz="6" w:space="0" w:color="auto"/>
            </w:tcBorders>
            <w:vAlign w:val="center"/>
          </w:tcPr>
          <w:p w14:paraId="0BEBF954" w14:textId="714CE6F5" w:rsidR="005A4A9A" w:rsidRPr="005A4A9A" w:rsidRDefault="0026306C" w:rsidP="00E26A37">
            <w:pPr>
              <w:jc w:val="center"/>
              <w:rPr>
                <w:sz w:val="24"/>
                <w:szCs w:val="24"/>
              </w:rPr>
            </w:pPr>
            <w:r>
              <w:rPr>
                <w:sz w:val="24"/>
                <w:szCs w:val="24"/>
              </w:rPr>
              <w:t>270-5550</w:t>
            </w:r>
          </w:p>
        </w:tc>
        <w:tc>
          <w:tcPr>
            <w:tcW w:w="6147" w:type="dxa"/>
            <w:tcBorders>
              <w:top w:val="single" w:sz="6" w:space="0" w:color="auto"/>
              <w:right w:val="nil"/>
            </w:tcBorders>
            <w:vAlign w:val="center"/>
          </w:tcPr>
          <w:p w14:paraId="76C8CCED" w14:textId="1D2BA792" w:rsidR="005A4A9A" w:rsidRPr="00483D33" w:rsidRDefault="0026306C" w:rsidP="00A30290">
            <w:r>
              <w:t xml:space="preserve">COW code </w:t>
            </w:r>
            <w:r w:rsidR="00A30290" w:rsidRPr="00A30290">
              <w:t>(http://www.correlatesofwar.org)</w:t>
            </w:r>
          </w:p>
        </w:tc>
      </w:tr>
      <w:tr w:rsidR="005A4A9A" w:rsidRPr="005A4A9A" w14:paraId="12DC4823" w14:textId="77777777" w:rsidTr="00CA3C81">
        <w:tc>
          <w:tcPr>
            <w:tcW w:w="2340" w:type="dxa"/>
            <w:tcBorders>
              <w:left w:val="nil"/>
            </w:tcBorders>
          </w:tcPr>
          <w:p w14:paraId="45E558BC" w14:textId="20323295" w:rsidR="005A4A9A" w:rsidRPr="005A4A9A" w:rsidRDefault="00387339" w:rsidP="00B61DB2">
            <w:pPr>
              <w:rPr>
                <w:sz w:val="24"/>
                <w:szCs w:val="24"/>
              </w:rPr>
            </w:pPr>
            <w:r>
              <w:rPr>
                <w:sz w:val="24"/>
                <w:szCs w:val="24"/>
              </w:rPr>
              <w:t>Y</w:t>
            </w:r>
            <w:r w:rsidR="005A4A9A" w:rsidRPr="005A4A9A">
              <w:rPr>
                <w:sz w:val="24"/>
                <w:szCs w:val="24"/>
              </w:rPr>
              <w:t>ear</w:t>
            </w:r>
          </w:p>
        </w:tc>
        <w:tc>
          <w:tcPr>
            <w:tcW w:w="1611" w:type="dxa"/>
          </w:tcPr>
          <w:p w14:paraId="0A89F97E" w14:textId="2F6097E6" w:rsidR="005A4A9A" w:rsidRPr="005A4A9A" w:rsidRDefault="005A4A9A" w:rsidP="00E26A37">
            <w:pPr>
              <w:jc w:val="center"/>
              <w:rPr>
                <w:sz w:val="24"/>
                <w:szCs w:val="24"/>
              </w:rPr>
            </w:pPr>
            <w:r w:rsidRPr="005A4A9A">
              <w:rPr>
                <w:sz w:val="24"/>
                <w:szCs w:val="24"/>
              </w:rPr>
              <w:t>1950-</w:t>
            </w:r>
            <w:r w:rsidR="00C14E1A">
              <w:rPr>
                <w:sz w:val="24"/>
                <w:szCs w:val="24"/>
              </w:rPr>
              <w:t>201</w:t>
            </w:r>
            <w:r w:rsidR="0026306C">
              <w:rPr>
                <w:sz w:val="24"/>
                <w:szCs w:val="24"/>
              </w:rPr>
              <w:t>9</w:t>
            </w:r>
          </w:p>
        </w:tc>
        <w:tc>
          <w:tcPr>
            <w:tcW w:w="6147" w:type="dxa"/>
            <w:tcBorders>
              <w:right w:val="nil"/>
            </w:tcBorders>
          </w:tcPr>
          <w:p w14:paraId="6A351E67" w14:textId="77777777" w:rsidR="005A4A9A" w:rsidRPr="00483D33" w:rsidRDefault="005A4A9A" w:rsidP="00B61DB2">
            <w:r w:rsidRPr="00483D33">
              <w:t>Year of evaluation</w:t>
            </w:r>
          </w:p>
        </w:tc>
      </w:tr>
      <w:tr w:rsidR="0026306C" w:rsidRPr="005A4A9A" w14:paraId="5CFAD3E7" w14:textId="77777777" w:rsidTr="00CA3C81">
        <w:tc>
          <w:tcPr>
            <w:tcW w:w="2340" w:type="dxa"/>
            <w:tcBorders>
              <w:left w:val="nil"/>
            </w:tcBorders>
          </w:tcPr>
          <w:p w14:paraId="391A2F1C" w14:textId="5BAD9A5D" w:rsidR="0026306C" w:rsidRDefault="0026306C" w:rsidP="00B61DB2">
            <w:pPr>
              <w:rPr>
                <w:sz w:val="24"/>
                <w:szCs w:val="24"/>
              </w:rPr>
            </w:pPr>
            <w:r>
              <w:rPr>
                <w:sz w:val="24"/>
                <w:szCs w:val="24"/>
              </w:rPr>
              <w:t>inception</w:t>
            </w:r>
          </w:p>
        </w:tc>
        <w:tc>
          <w:tcPr>
            <w:tcW w:w="1611" w:type="dxa"/>
          </w:tcPr>
          <w:p w14:paraId="3C8E2408" w14:textId="38F3FCC7" w:rsidR="0026306C" w:rsidRPr="005A4A9A" w:rsidRDefault="0026306C" w:rsidP="00E26A37">
            <w:pPr>
              <w:jc w:val="center"/>
              <w:rPr>
                <w:sz w:val="24"/>
                <w:szCs w:val="24"/>
              </w:rPr>
            </w:pPr>
            <w:r>
              <w:rPr>
                <w:sz w:val="24"/>
                <w:szCs w:val="24"/>
              </w:rPr>
              <w:t>1831-2002</w:t>
            </w:r>
          </w:p>
        </w:tc>
        <w:tc>
          <w:tcPr>
            <w:tcW w:w="6147" w:type="dxa"/>
            <w:tcBorders>
              <w:right w:val="nil"/>
            </w:tcBorders>
          </w:tcPr>
          <w:p w14:paraId="34091F19" w14:textId="013CFC09" w:rsidR="0026306C" w:rsidRPr="00483D33" w:rsidRDefault="0026306C" w:rsidP="00B61DB2">
            <w:r>
              <w:t>Year in which IO was created</w:t>
            </w:r>
          </w:p>
        </w:tc>
      </w:tr>
      <w:tr w:rsidR="00AC14E6" w:rsidRPr="005A4A9A" w14:paraId="1A143C4B" w14:textId="77777777" w:rsidTr="00CA3C81">
        <w:tc>
          <w:tcPr>
            <w:tcW w:w="2340" w:type="dxa"/>
            <w:tcBorders>
              <w:left w:val="nil"/>
              <w:bottom w:val="single" w:sz="4" w:space="0" w:color="auto"/>
            </w:tcBorders>
          </w:tcPr>
          <w:p w14:paraId="2B0F01A4" w14:textId="09A59FC3" w:rsidR="00AC14E6" w:rsidRDefault="0026306C" w:rsidP="00B61DB2">
            <w:pPr>
              <w:rPr>
                <w:sz w:val="24"/>
                <w:szCs w:val="24"/>
              </w:rPr>
            </w:pPr>
            <w:r>
              <w:rPr>
                <w:sz w:val="24"/>
                <w:szCs w:val="24"/>
              </w:rPr>
              <w:t>initial</w:t>
            </w:r>
          </w:p>
        </w:tc>
        <w:tc>
          <w:tcPr>
            <w:tcW w:w="1611" w:type="dxa"/>
            <w:tcBorders>
              <w:bottom w:val="single" w:sz="4" w:space="0" w:color="auto"/>
            </w:tcBorders>
          </w:tcPr>
          <w:p w14:paraId="79BECA30" w14:textId="4FA6B8EC" w:rsidR="00AC14E6" w:rsidRPr="005A4A9A" w:rsidRDefault="0026306C" w:rsidP="00E26A37">
            <w:pPr>
              <w:jc w:val="center"/>
              <w:rPr>
                <w:sz w:val="24"/>
                <w:szCs w:val="24"/>
              </w:rPr>
            </w:pPr>
            <w:r>
              <w:rPr>
                <w:sz w:val="24"/>
                <w:szCs w:val="24"/>
              </w:rPr>
              <w:t>0-1</w:t>
            </w:r>
          </w:p>
        </w:tc>
        <w:tc>
          <w:tcPr>
            <w:tcW w:w="6147" w:type="dxa"/>
            <w:tcBorders>
              <w:bottom w:val="single" w:sz="4" w:space="0" w:color="auto"/>
              <w:right w:val="nil"/>
            </w:tcBorders>
          </w:tcPr>
          <w:p w14:paraId="275F9CEF" w14:textId="768F3A51" w:rsidR="00AC14E6" w:rsidRPr="00483D33" w:rsidRDefault="0026306C" w:rsidP="00B61DB2">
            <w:r>
              <w:t xml:space="preserve">First year in dataset </w:t>
            </w:r>
          </w:p>
        </w:tc>
      </w:tr>
      <w:tr w:rsidR="004C4299" w:rsidRPr="005A4A9A" w14:paraId="66C91D74" w14:textId="77777777" w:rsidTr="00CA3C81">
        <w:tc>
          <w:tcPr>
            <w:tcW w:w="2340" w:type="dxa"/>
            <w:tcBorders>
              <w:left w:val="nil"/>
              <w:bottom w:val="single" w:sz="4" w:space="0" w:color="auto"/>
            </w:tcBorders>
          </w:tcPr>
          <w:p w14:paraId="315E6CDE" w14:textId="4993968C" w:rsidR="004C4299" w:rsidRDefault="00387339" w:rsidP="004C4299">
            <w:pPr>
              <w:rPr>
                <w:sz w:val="24"/>
                <w:szCs w:val="24"/>
              </w:rPr>
            </w:pPr>
            <w:r>
              <w:rPr>
                <w:sz w:val="24"/>
                <w:szCs w:val="24"/>
              </w:rPr>
              <w:t>E</w:t>
            </w:r>
            <w:r w:rsidR="0026306C">
              <w:rPr>
                <w:sz w:val="24"/>
                <w:szCs w:val="24"/>
              </w:rPr>
              <w:t>nd</w:t>
            </w:r>
          </w:p>
        </w:tc>
        <w:tc>
          <w:tcPr>
            <w:tcW w:w="1611" w:type="dxa"/>
            <w:tcBorders>
              <w:bottom w:val="single" w:sz="4" w:space="0" w:color="auto"/>
            </w:tcBorders>
          </w:tcPr>
          <w:p w14:paraId="0E833E18" w14:textId="5EF2470F" w:rsidR="004C4299" w:rsidRPr="005A4A9A" w:rsidRDefault="0026306C" w:rsidP="004C4299">
            <w:pPr>
              <w:jc w:val="center"/>
              <w:rPr>
                <w:sz w:val="24"/>
                <w:szCs w:val="24"/>
              </w:rPr>
            </w:pPr>
            <w:r>
              <w:rPr>
                <w:sz w:val="24"/>
                <w:szCs w:val="24"/>
              </w:rPr>
              <w:t>0-1</w:t>
            </w:r>
          </w:p>
        </w:tc>
        <w:tc>
          <w:tcPr>
            <w:tcW w:w="6147" w:type="dxa"/>
            <w:tcBorders>
              <w:bottom w:val="single" w:sz="4" w:space="0" w:color="auto"/>
              <w:right w:val="nil"/>
            </w:tcBorders>
          </w:tcPr>
          <w:p w14:paraId="5BF1D018" w14:textId="38D242BE" w:rsidR="004C4299" w:rsidRDefault="0026306C" w:rsidP="004C4299">
            <w:r>
              <w:t>Last year in dataset</w:t>
            </w:r>
          </w:p>
        </w:tc>
      </w:tr>
      <w:tr w:rsidR="00CB6F2E" w:rsidRPr="005A4A9A" w14:paraId="6395FC30" w14:textId="77777777" w:rsidTr="00CA3C81">
        <w:tc>
          <w:tcPr>
            <w:tcW w:w="2340" w:type="dxa"/>
            <w:tcBorders>
              <w:left w:val="nil"/>
              <w:bottom w:val="single" w:sz="4" w:space="0" w:color="auto"/>
            </w:tcBorders>
          </w:tcPr>
          <w:p w14:paraId="6B6BB275" w14:textId="0FE6D78F" w:rsidR="00CB6F2E" w:rsidRDefault="00CB6F2E" w:rsidP="004C4299">
            <w:pPr>
              <w:rPr>
                <w:sz w:val="24"/>
                <w:szCs w:val="24"/>
              </w:rPr>
            </w:pPr>
            <w:r>
              <w:rPr>
                <w:sz w:val="24"/>
                <w:szCs w:val="24"/>
              </w:rPr>
              <w:t>typeI</w:t>
            </w:r>
          </w:p>
        </w:tc>
        <w:tc>
          <w:tcPr>
            <w:tcW w:w="1611" w:type="dxa"/>
            <w:tcBorders>
              <w:bottom w:val="single" w:sz="4" w:space="0" w:color="auto"/>
            </w:tcBorders>
          </w:tcPr>
          <w:p w14:paraId="1DAA1B2E" w14:textId="3707818F" w:rsidR="00CB6F2E" w:rsidRDefault="00CB6F2E" w:rsidP="004C4299">
            <w:pPr>
              <w:jc w:val="center"/>
              <w:rPr>
                <w:sz w:val="24"/>
                <w:szCs w:val="24"/>
              </w:rPr>
            </w:pPr>
            <w:r>
              <w:rPr>
                <w:sz w:val="24"/>
                <w:szCs w:val="24"/>
              </w:rPr>
              <w:t>0-1</w:t>
            </w:r>
          </w:p>
        </w:tc>
        <w:tc>
          <w:tcPr>
            <w:tcW w:w="6147" w:type="dxa"/>
            <w:tcBorders>
              <w:bottom w:val="single" w:sz="4" w:space="0" w:color="auto"/>
              <w:right w:val="nil"/>
            </w:tcBorders>
          </w:tcPr>
          <w:p w14:paraId="7AFA4AAC" w14:textId="31ED0EE1" w:rsidR="00CB6F2E" w:rsidRDefault="00CB6F2E" w:rsidP="004C4299">
            <w:r>
              <w:t>0=Task-specific</w:t>
            </w:r>
          </w:p>
          <w:p w14:paraId="21E1841C" w14:textId="0AB3C557" w:rsidR="00CB6F2E" w:rsidRDefault="00CB6F2E" w:rsidP="004C4299">
            <w:r>
              <w:t>1=General purpose</w:t>
            </w:r>
          </w:p>
        </w:tc>
      </w:tr>
      <w:tr w:rsidR="00CB6F2E" w:rsidRPr="005A4A9A" w14:paraId="0265353F" w14:textId="77777777" w:rsidTr="00CA3C81">
        <w:tc>
          <w:tcPr>
            <w:tcW w:w="2340" w:type="dxa"/>
            <w:tcBorders>
              <w:left w:val="nil"/>
              <w:bottom w:val="single" w:sz="4" w:space="0" w:color="auto"/>
            </w:tcBorders>
          </w:tcPr>
          <w:p w14:paraId="695452BA" w14:textId="6A4A3507" w:rsidR="00CB6F2E" w:rsidRDefault="00387339" w:rsidP="004C4299">
            <w:pPr>
              <w:rPr>
                <w:sz w:val="24"/>
                <w:szCs w:val="24"/>
              </w:rPr>
            </w:pPr>
            <w:r>
              <w:rPr>
                <w:sz w:val="24"/>
                <w:szCs w:val="24"/>
              </w:rPr>
              <w:t>C</w:t>
            </w:r>
            <w:r w:rsidR="00CB6F2E">
              <w:rPr>
                <w:sz w:val="24"/>
                <w:szCs w:val="24"/>
              </w:rPr>
              <w:t>ontract</w:t>
            </w:r>
          </w:p>
        </w:tc>
        <w:tc>
          <w:tcPr>
            <w:tcW w:w="1611" w:type="dxa"/>
            <w:tcBorders>
              <w:bottom w:val="single" w:sz="4" w:space="0" w:color="auto"/>
            </w:tcBorders>
          </w:tcPr>
          <w:p w14:paraId="62F68FFF" w14:textId="4DA49E5A" w:rsidR="00CB6F2E" w:rsidRDefault="00CB6F2E" w:rsidP="004C4299">
            <w:pPr>
              <w:jc w:val="center"/>
              <w:rPr>
                <w:sz w:val="24"/>
                <w:szCs w:val="24"/>
              </w:rPr>
            </w:pPr>
            <w:r>
              <w:rPr>
                <w:sz w:val="24"/>
                <w:szCs w:val="24"/>
              </w:rPr>
              <w:t>0-1</w:t>
            </w:r>
          </w:p>
        </w:tc>
        <w:tc>
          <w:tcPr>
            <w:tcW w:w="6147" w:type="dxa"/>
            <w:tcBorders>
              <w:bottom w:val="single" w:sz="4" w:space="0" w:color="auto"/>
              <w:right w:val="nil"/>
            </w:tcBorders>
          </w:tcPr>
          <w:p w14:paraId="327A5DFB" w14:textId="77777777" w:rsidR="00CB6F2E" w:rsidRDefault="00CB6F2E" w:rsidP="004C4299">
            <w:r>
              <w:t>0=relatively complete</w:t>
            </w:r>
          </w:p>
          <w:p w14:paraId="27FF2618" w14:textId="324E6116" w:rsidR="00CB6F2E" w:rsidRDefault="00CB6F2E" w:rsidP="004C4299">
            <w:r>
              <w:t>1=highly incomplete</w:t>
            </w:r>
          </w:p>
        </w:tc>
      </w:tr>
      <w:tr w:rsidR="004D28D2" w:rsidRPr="005A4A9A" w14:paraId="15B67F5D" w14:textId="77777777" w:rsidTr="004D28D2">
        <w:tc>
          <w:tcPr>
            <w:tcW w:w="2340" w:type="dxa"/>
            <w:tcBorders>
              <w:top w:val="single" w:sz="12" w:space="0" w:color="auto"/>
              <w:left w:val="nil"/>
            </w:tcBorders>
            <w:shd w:val="clear" w:color="auto" w:fill="auto"/>
          </w:tcPr>
          <w:p w14:paraId="6EC4F39F" w14:textId="32C72D9B" w:rsidR="004D28D2" w:rsidRDefault="004D28D2" w:rsidP="004C4299">
            <w:pPr>
              <w:rPr>
                <w:sz w:val="24"/>
                <w:szCs w:val="24"/>
              </w:rPr>
            </w:pPr>
            <w:r>
              <w:rPr>
                <w:sz w:val="24"/>
                <w:szCs w:val="24"/>
              </w:rPr>
              <w:t>DIMENSIONS</w:t>
            </w:r>
          </w:p>
        </w:tc>
        <w:tc>
          <w:tcPr>
            <w:tcW w:w="1611" w:type="dxa"/>
            <w:tcBorders>
              <w:top w:val="single" w:sz="12" w:space="0" w:color="auto"/>
            </w:tcBorders>
            <w:shd w:val="clear" w:color="auto" w:fill="auto"/>
          </w:tcPr>
          <w:p w14:paraId="14C30D7B" w14:textId="77777777" w:rsidR="004D28D2" w:rsidRPr="005A4A9A" w:rsidRDefault="004D28D2" w:rsidP="004C4299">
            <w:pPr>
              <w:jc w:val="center"/>
              <w:rPr>
                <w:sz w:val="24"/>
                <w:szCs w:val="24"/>
              </w:rPr>
            </w:pPr>
          </w:p>
        </w:tc>
        <w:tc>
          <w:tcPr>
            <w:tcW w:w="6147" w:type="dxa"/>
            <w:tcBorders>
              <w:top w:val="single" w:sz="12" w:space="0" w:color="auto"/>
              <w:right w:val="nil"/>
            </w:tcBorders>
            <w:shd w:val="clear" w:color="auto" w:fill="auto"/>
          </w:tcPr>
          <w:p w14:paraId="19E8DEC2" w14:textId="77777777" w:rsidR="004D28D2" w:rsidRDefault="004D28D2" w:rsidP="004C4299">
            <w:pPr>
              <w:ind w:left="144" w:hanging="144"/>
            </w:pPr>
          </w:p>
        </w:tc>
      </w:tr>
      <w:tr w:rsidR="004C4299" w:rsidRPr="005A4A9A" w14:paraId="0DD9FB54" w14:textId="77777777" w:rsidTr="004D28D2">
        <w:tc>
          <w:tcPr>
            <w:tcW w:w="2340" w:type="dxa"/>
            <w:tcBorders>
              <w:top w:val="single" w:sz="12" w:space="0" w:color="auto"/>
              <w:left w:val="nil"/>
            </w:tcBorders>
            <w:shd w:val="clear" w:color="auto" w:fill="8EAADB" w:themeFill="accent5" w:themeFillTint="99"/>
          </w:tcPr>
          <w:p w14:paraId="6875E2A3" w14:textId="14B8EFC7" w:rsidR="004C4299" w:rsidRPr="005A4A9A" w:rsidRDefault="00D64A88" w:rsidP="004C4299">
            <w:pPr>
              <w:rPr>
                <w:sz w:val="24"/>
                <w:szCs w:val="24"/>
              </w:rPr>
            </w:pPr>
            <w:r>
              <w:rPr>
                <w:sz w:val="24"/>
                <w:szCs w:val="24"/>
              </w:rPr>
              <w:t>delegation</w:t>
            </w:r>
          </w:p>
        </w:tc>
        <w:tc>
          <w:tcPr>
            <w:tcW w:w="1611" w:type="dxa"/>
            <w:tcBorders>
              <w:top w:val="single" w:sz="12" w:space="0" w:color="auto"/>
            </w:tcBorders>
            <w:shd w:val="clear" w:color="auto" w:fill="8EAADB" w:themeFill="accent5" w:themeFillTint="99"/>
          </w:tcPr>
          <w:p w14:paraId="0D846D0C" w14:textId="68EFE481" w:rsidR="004C4299" w:rsidRPr="005A4A9A" w:rsidRDefault="004C4299" w:rsidP="004C4299">
            <w:pPr>
              <w:jc w:val="center"/>
              <w:rPr>
                <w:sz w:val="24"/>
                <w:szCs w:val="24"/>
              </w:rPr>
            </w:pPr>
            <w:r w:rsidRPr="005A4A9A">
              <w:rPr>
                <w:sz w:val="24"/>
                <w:szCs w:val="24"/>
              </w:rPr>
              <w:t>0-</w:t>
            </w:r>
            <w:r w:rsidR="00D64A88">
              <w:rPr>
                <w:sz w:val="24"/>
                <w:szCs w:val="24"/>
              </w:rPr>
              <w:t>1</w:t>
            </w:r>
          </w:p>
        </w:tc>
        <w:tc>
          <w:tcPr>
            <w:tcW w:w="6147" w:type="dxa"/>
            <w:tcBorders>
              <w:top w:val="single" w:sz="12" w:space="0" w:color="auto"/>
              <w:right w:val="nil"/>
            </w:tcBorders>
            <w:shd w:val="clear" w:color="auto" w:fill="8EAADB" w:themeFill="accent5" w:themeFillTint="99"/>
          </w:tcPr>
          <w:p w14:paraId="5D9DE7FF" w14:textId="0487BEB4" w:rsidR="004C4299" w:rsidRPr="00483D33" w:rsidRDefault="004D4547" w:rsidP="004C4299">
            <w:pPr>
              <w:ind w:left="144" w:hanging="144"/>
            </w:pPr>
            <w:r>
              <w:t>D</w:t>
            </w:r>
            <w:r w:rsidR="00D64A88">
              <w:t xml:space="preserve">elegation </w:t>
            </w:r>
            <w:r>
              <w:t xml:space="preserve">aggregated in one of two equivalent ways: </w:t>
            </w:r>
            <w:r w:rsidR="00D64A88" w:rsidRPr="00D64A88">
              <w:t>(del_agenda + del_final + DS_sum_st)/3</w:t>
            </w:r>
            <w:r w:rsidR="00D64A88">
              <w:t xml:space="preserve">   OR  </w:t>
            </w:r>
            <w:r w:rsidR="00D64A88" w:rsidRPr="00D64A88">
              <w:t>(delaccess + delsuspens + delconstit + delbudget + delfincompl + delpolicy)/6</w:t>
            </w:r>
          </w:p>
        </w:tc>
      </w:tr>
      <w:tr w:rsidR="004C4299" w:rsidRPr="005A4A9A" w14:paraId="25F9B69A" w14:textId="77777777" w:rsidTr="004D28D2">
        <w:tc>
          <w:tcPr>
            <w:tcW w:w="2340" w:type="dxa"/>
            <w:tcBorders>
              <w:left w:val="nil"/>
              <w:bottom w:val="single" w:sz="4" w:space="0" w:color="auto"/>
            </w:tcBorders>
            <w:shd w:val="clear" w:color="auto" w:fill="A8D08D" w:themeFill="accent6" w:themeFillTint="99"/>
          </w:tcPr>
          <w:p w14:paraId="7E8B893F" w14:textId="7F76FDB1" w:rsidR="004C4299" w:rsidRPr="005A4A9A" w:rsidRDefault="00D64A88" w:rsidP="004C4299">
            <w:pPr>
              <w:rPr>
                <w:sz w:val="24"/>
                <w:szCs w:val="24"/>
              </w:rPr>
            </w:pPr>
            <w:r>
              <w:rPr>
                <w:sz w:val="24"/>
                <w:szCs w:val="24"/>
              </w:rPr>
              <w:t>pooling</w:t>
            </w:r>
          </w:p>
        </w:tc>
        <w:tc>
          <w:tcPr>
            <w:tcW w:w="1611" w:type="dxa"/>
            <w:tcBorders>
              <w:bottom w:val="single" w:sz="4" w:space="0" w:color="auto"/>
            </w:tcBorders>
            <w:shd w:val="clear" w:color="auto" w:fill="A8D08D" w:themeFill="accent6" w:themeFillTint="99"/>
          </w:tcPr>
          <w:p w14:paraId="4A1D3DE2" w14:textId="05B263C1" w:rsidR="004C4299" w:rsidRPr="005A4A9A" w:rsidRDefault="004C4299" w:rsidP="004C4299">
            <w:pPr>
              <w:jc w:val="center"/>
              <w:rPr>
                <w:sz w:val="24"/>
                <w:szCs w:val="24"/>
              </w:rPr>
            </w:pPr>
            <w:r w:rsidRPr="005A4A9A">
              <w:rPr>
                <w:sz w:val="24"/>
                <w:szCs w:val="24"/>
              </w:rPr>
              <w:t>0-</w:t>
            </w:r>
            <w:r w:rsidR="00D64A88">
              <w:rPr>
                <w:sz w:val="24"/>
                <w:szCs w:val="24"/>
              </w:rPr>
              <w:t>1</w:t>
            </w:r>
          </w:p>
        </w:tc>
        <w:tc>
          <w:tcPr>
            <w:tcW w:w="6147" w:type="dxa"/>
            <w:tcBorders>
              <w:bottom w:val="single" w:sz="4" w:space="0" w:color="auto"/>
              <w:right w:val="nil"/>
            </w:tcBorders>
            <w:shd w:val="clear" w:color="auto" w:fill="A8D08D" w:themeFill="accent6" w:themeFillTint="99"/>
          </w:tcPr>
          <w:p w14:paraId="5B675376" w14:textId="053BD848" w:rsidR="004C4299" w:rsidRPr="00483D33" w:rsidRDefault="004D4547" w:rsidP="00D64A88">
            <w:r>
              <w:t>P</w:t>
            </w:r>
            <w:r w:rsidR="00D64A88">
              <w:t xml:space="preserve">ooling </w:t>
            </w:r>
            <w:r>
              <w:t>aggregated in one of two equivalent ways</w:t>
            </w:r>
            <w:r w:rsidR="00D64A88">
              <w:t>: (</w:t>
            </w:r>
            <w:r w:rsidR="00D64A88" w:rsidRPr="00D64A88">
              <w:t>poolagenda + poolfinal)/2</w:t>
            </w:r>
            <w:r w:rsidR="00D64A88">
              <w:t xml:space="preserve"> OR </w:t>
            </w:r>
            <w:r w:rsidR="00D64A88" w:rsidRPr="00D64A88">
              <w:t>(poolaccess + poolsuspens + poolconstit + poolbudget + poolcompliance + poolpolicy)/6</w:t>
            </w:r>
          </w:p>
        </w:tc>
      </w:tr>
      <w:tr w:rsidR="004C4299" w:rsidRPr="005A4A9A" w14:paraId="78F5D3F2" w14:textId="77777777" w:rsidTr="004D28D2">
        <w:tc>
          <w:tcPr>
            <w:tcW w:w="2340" w:type="dxa"/>
            <w:tcBorders>
              <w:left w:val="nil"/>
              <w:bottom w:val="single" w:sz="12" w:space="0" w:color="auto"/>
            </w:tcBorders>
            <w:shd w:val="clear" w:color="auto" w:fill="8496B0" w:themeFill="text2" w:themeFillTint="99"/>
          </w:tcPr>
          <w:p w14:paraId="77DEF886" w14:textId="049F3300" w:rsidR="004C4299" w:rsidRPr="005A4A9A" w:rsidRDefault="00D64A88" w:rsidP="004C4299">
            <w:pPr>
              <w:rPr>
                <w:sz w:val="24"/>
                <w:szCs w:val="24"/>
              </w:rPr>
            </w:pPr>
            <w:r>
              <w:rPr>
                <w:sz w:val="24"/>
                <w:szCs w:val="24"/>
              </w:rPr>
              <w:t>DS_sum_st</w:t>
            </w:r>
          </w:p>
        </w:tc>
        <w:tc>
          <w:tcPr>
            <w:tcW w:w="1611" w:type="dxa"/>
            <w:tcBorders>
              <w:bottom w:val="single" w:sz="12" w:space="0" w:color="auto"/>
            </w:tcBorders>
            <w:shd w:val="clear" w:color="auto" w:fill="8496B0" w:themeFill="text2" w:themeFillTint="99"/>
          </w:tcPr>
          <w:p w14:paraId="3FF130EE" w14:textId="05538A42" w:rsidR="004C4299" w:rsidRPr="005A4A9A" w:rsidRDefault="004C4299" w:rsidP="004C4299">
            <w:pPr>
              <w:jc w:val="center"/>
              <w:rPr>
                <w:sz w:val="24"/>
                <w:szCs w:val="24"/>
              </w:rPr>
            </w:pPr>
            <w:r w:rsidRPr="005A4A9A">
              <w:rPr>
                <w:sz w:val="24"/>
                <w:szCs w:val="24"/>
              </w:rPr>
              <w:t>0-</w:t>
            </w:r>
            <w:r w:rsidR="00D64A88">
              <w:rPr>
                <w:sz w:val="24"/>
                <w:szCs w:val="24"/>
              </w:rPr>
              <w:t>1</w:t>
            </w:r>
          </w:p>
        </w:tc>
        <w:tc>
          <w:tcPr>
            <w:tcW w:w="6147" w:type="dxa"/>
            <w:tcBorders>
              <w:bottom w:val="single" w:sz="12" w:space="0" w:color="auto"/>
              <w:right w:val="nil"/>
            </w:tcBorders>
            <w:shd w:val="clear" w:color="auto" w:fill="8496B0" w:themeFill="text2" w:themeFillTint="99"/>
          </w:tcPr>
          <w:p w14:paraId="0708D591" w14:textId="1BD3E9B5" w:rsidR="004C4299" w:rsidRPr="00483D33" w:rsidRDefault="00D64A88" w:rsidP="004C4299">
            <w:pPr>
              <w:ind w:left="144" w:hanging="144"/>
            </w:pPr>
            <w:r>
              <w:t>Delegation to dispute settlement</w:t>
            </w:r>
            <w:r w:rsidR="004D4547">
              <w:t>, calculated as</w:t>
            </w:r>
            <w:r>
              <w:t xml:space="preserve"> (</w:t>
            </w:r>
            <w:r w:rsidRPr="00D64A88">
              <w:t>rowmax(DS_sum1 DS_sum2 DS_sum3)</w:t>
            </w:r>
            <w:r>
              <w:t>)</w:t>
            </w:r>
          </w:p>
        </w:tc>
      </w:tr>
      <w:tr w:rsidR="004D28D2" w:rsidRPr="005A4A9A" w14:paraId="6EB86162" w14:textId="77777777" w:rsidTr="004D28D2">
        <w:tc>
          <w:tcPr>
            <w:tcW w:w="2340" w:type="dxa"/>
            <w:tcBorders>
              <w:top w:val="single" w:sz="12" w:space="0" w:color="auto"/>
              <w:left w:val="nil"/>
            </w:tcBorders>
            <w:shd w:val="clear" w:color="auto" w:fill="auto"/>
          </w:tcPr>
          <w:p w14:paraId="30D78EE4" w14:textId="491745C9" w:rsidR="004D28D2" w:rsidRDefault="004D28D2" w:rsidP="003B760B">
            <w:pPr>
              <w:rPr>
                <w:sz w:val="24"/>
                <w:szCs w:val="24"/>
              </w:rPr>
            </w:pPr>
            <w:r>
              <w:rPr>
                <w:sz w:val="24"/>
                <w:szCs w:val="24"/>
              </w:rPr>
              <w:t>COMPONENTS</w:t>
            </w:r>
          </w:p>
        </w:tc>
        <w:tc>
          <w:tcPr>
            <w:tcW w:w="1611" w:type="dxa"/>
            <w:tcBorders>
              <w:top w:val="single" w:sz="12" w:space="0" w:color="auto"/>
            </w:tcBorders>
            <w:shd w:val="clear" w:color="auto" w:fill="auto"/>
          </w:tcPr>
          <w:p w14:paraId="58919712" w14:textId="77777777" w:rsidR="004D28D2" w:rsidRPr="005A4A9A" w:rsidRDefault="004D28D2" w:rsidP="003B760B">
            <w:pPr>
              <w:jc w:val="center"/>
              <w:rPr>
                <w:sz w:val="24"/>
                <w:szCs w:val="24"/>
              </w:rPr>
            </w:pPr>
          </w:p>
        </w:tc>
        <w:tc>
          <w:tcPr>
            <w:tcW w:w="6147" w:type="dxa"/>
            <w:tcBorders>
              <w:top w:val="single" w:sz="12" w:space="0" w:color="auto"/>
              <w:right w:val="nil"/>
            </w:tcBorders>
            <w:shd w:val="clear" w:color="auto" w:fill="auto"/>
          </w:tcPr>
          <w:p w14:paraId="645D6A00" w14:textId="77777777" w:rsidR="004D28D2" w:rsidRPr="00483D33" w:rsidRDefault="004D28D2" w:rsidP="003B760B"/>
        </w:tc>
      </w:tr>
      <w:tr w:rsidR="004C4299" w:rsidRPr="005A4A9A" w14:paraId="5B20D719" w14:textId="77777777" w:rsidTr="004D28D2">
        <w:tc>
          <w:tcPr>
            <w:tcW w:w="2340" w:type="dxa"/>
            <w:tcBorders>
              <w:top w:val="single" w:sz="12" w:space="0" w:color="auto"/>
              <w:left w:val="nil"/>
            </w:tcBorders>
            <w:shd w:val="clear" w:color="auto" w:fill="D9E2F3" w:themeFill="accent5" w:themeFillTint="33"/>
          </w:tcPr>
          <w:p w14:paraId="09D0D491" w14:textId="21DB5A61" w:rsidR="004C4299" w:rsidRPr="005A4A9A" w:rsidRDefault="004D28D2" w:rsidP="003B760B">
            <w:pPr>
              <w:rPr>
                <w:sz w:val="24"/>
                <w:szCs w:val="24"/>
              </w:rPr>
            </w:pPr>
            <w:r>
              <w:rPr>
                <w:sz w:val="24"/>
                <w:szCs w:val="24"/>
              </w:rPr>
              <w:t>delaccess</w:t>
            </w:r>
          </w:p>
        </w:tc>
        <w:tc>
          <w:tcPr>
            <w:tcW w:w="1611" w:type="dxa"/>
            <w:tcBorders>
              <w:top w:val="single" w:sz="12" w:space="0" w:color="auto"/>
            </w:tcBorders>
            <w:shd w:val="clear" w:color="auto" w:fill="D9E2F3" w:themeFill="accent5" w:themeFillTint="33"/>
          </w:tcPr>
          <w:p w14:paraId="2B7776A6" w14:textId="1E80BF89" w:rsidR="004C4299" w:rsidRPr="005A4A9A" w:rsidRDefault="004D28D2" w:rsidP="003B760B">
            <w:pPr>
              <w:jc w:val="center"/>
              <w:rPr>
                <w:sz w:val="24"/>
                <w:szCs w:val="24"/>
              </w:rPr>
            </w:pPr>
            <w:r>
              <w:rPr>
                <w:sz w:val="24"/>
                <w:szCs w:val="24"/>
              </w:rPr>
              <w:t>0-1</w:t>
            </w:r>
          </w:p>
        </w:tc>
        <w:tc>
          <w:tcPr>
            <w:tcW w:w="6147" w:type="dxa"/>
            <w:tcBorders>
              <w:top w:val="single" w:sz="12" w:space="0" w:color="auto"/>
              <w:right w:val="nil"/>
            </w:tcBorders>
            <w:shd w:val="clear" w:color="auto" w:fill="D9E2F3" w:themeFill="accent5" w:themeFillTint="33"/>
          </w:tcPr>
          <w:p w14:paraId="6A2CFE33" w14:textId="68053E2A" w:rsidR="004C4299" w:rsidRPr="00483D33" w:rsidRDefault="004D28D2" w:rsidP="003B760B">
            <w:pPr>
              <w:ind w:left="144" w:hanging="144"/>
            </w:pPr>
            <w:r>
              <w:t>Delegation on membership accession (agenda+ final + DS)/3</w:t>
            </w:r>
          </w:p>
        </w:tc>
      </w:tr>
      <w:tr w:rsidR="004C4299" w:rsidRPr="005A4A9A" w14:paraId="38E8C3B1" w14:textId="77777777" w:rsidTr="004D28D2">
        <w:tc>
          <w:tcPr>
            <w:tcW w:w="2340" w:type="dxa"/>
            <w:tcBorders>
              <w:left w:val="nil"/>
            </w:tcBorders>
            <w:shd w:val="clear" w:color="auto" w:fill="D9E2F3" w:themeFill="accent5" w:themeFillTint="33"/>
          </w:tcPr>
          <w:p w14:paraId="15E8BB7E" w14:textId="7671BA19" w:rsidR="004C4299" w:rsidRPr="005A4A9A" w:rsidRDefault="004D28D2" w:rsidP="003B760B">
            <w:pPr>
              <w:rPr>
                <w:sz w:val="24"/>
                <w:szCs w:val="24"/>
              </w:rPr>
            </w:pPr>
            <w:r>
              <w:rPr>
                <w:sz w:val="24"/>
                <w:szCs w:val="24"/>
              </w:rPr>
              <w:t>delsuspens</w:t>
            </w:r>
          </w:p>
        </w:tc>
        <w:tc>
          <w:tcPr>
            <w:tcW w:w="1611" w:type="dxa"/>
            <w:shd w:val="clear" w:color="auto" w:fill="D9E2F3" w:themeFill="accent5" w:themeFillTint="33"/>
          </w:tcPr>
          <w:p w14:paraId="1C6D8959" w14:textId="6FACFD34" w:rsidR="004C4299" w:rsidRPr="005A4A9A" w:rsidRDefault="004D28D2" w:rsidP="003B760B">
            <w:pPr>
              <w:jc w:val="center"/>
              <w:rPr>
                <w:sz w:val="24"/>
                <w:szCs w:val="24"/>
              </w:rPr>
            </w:pPr>
            <w:r>
              <w:rPr>
                <w:sz w:val="24"/>
                <w:szCs w:val="24"/>
              </w:rPr>
              <w:t>0-1</w:t>
            </w:r>
          </w:p>
        </w:tc>
        <w:tc>
          <w:tcPr>
            <w:tcW w:w="6147" w:type="dxa"/>
            <w:tcBorders>
              <w:right w:val="nil"/>
            </w:tcBorders>
            <w:shd w:val="clear" w:color="auto" w:fill="D9E2F3" w:themeFill="accent5" w:themeFillTint="33"/>
          </w:tcPr>
          <w:p w14:paraId="313AD421" w14:textId="1A09DA58" w:rsidR="004C4299" w:rsidRPr="00483D33" w:rsidRDefault="004D28D2" w:rsidP="003B760B">
            <w:r>
              <w:t>Delegation on suspension of a member (agenda+final+DS)/3</w:t>
            </w:r>
          </w:p>
        </w:tc>
      </w:tr>
      <w:tr w:rsidR="004D28D2" w:rsidRPr="005A4A9A" w14:paraId="54BBFCFF" w14:textId="77777777" w:rsidTr="004D28D2">
        <w:tc>
          <w:tcPr>
            <w:tcW w:w="2340" w:type="dxa"/>
            <w:tcBorders>
              <w:left w:val="nil"/>
            </w:tcBorders>
            <w:shd w:val="clear" w:color="auto" w:fill="D9E2F3" w:themeFill="accent5" w:themeFillTint="33"/>
          </w:tcPr>
          <w:p w14:paraId="54A81EA3" w14:textId="2836C9EC" w:rsidR="004D28D2" w:rsidRPr="005A4A9A" w:rsidRDefault="004D28D2" w:rsidP="004D28D2">
            <w:pPr>
              <w:rPr>
                <w:sz w:val="24"/>
                <w:szCs w:val="24"/>
              </w:rPr>
            </w:pPr>
            <w:r>
              <w:rPr>
                <w:sz w:val="24"/>
                <w:szCs w:val="24"/>
              </w:rPr>
              <w:t>delconstit</w:t>
            </w:r>
          </w:p>
        </w:tc>
        <w:tc>
          <w:tcPr>
            <w:tcW w:w="1611" w:type="dxa"/>
            <w:shd w:val="clear" w:color="auto" w:fill="D9E2F3" w:themeFill="accent5" w:themeFillTint="33"/>
          </w:tcPr>
          <w:p w14:paraId="50AC3C0A" w14:textId="4F0F5992"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D9E2F3" w:themeFill="accent5" w:themeFillTint="33"/>
          </w:tcPr>
          <w:p w14:paraId="7A8829E4" w14:textId="2C7A7ED5" w:rsidR="004D28D2" w:rsidRPr="00483D33" w:rsidRDefault="004D28D2" w:rsidP="004D28D2">
            <w:r>
              <w:t>Delegation on constitutional reform (agenda+final+DS)/3</w:t>
            </w:r>
          </w:p>
        </w:tc>
      </w:tr>
      <w:tr w:rsidR="004D28D2" w:rsidRPr="005A4A9A" w14:paraId="2D073DB5" w14:textId="77777777" w:rsidTr="004D28D2">
        <w:tc>
          <w:tcPr>
            <w:tcW w:w="2340" w:type="dxa"/>
            <w:tcBorders>
              <w:left w:val="nil"/>
            </w:tcBorders>
            <w:shd w:val="clear" w:color="auto" w:fill="D9E2F3" w:themeFill="accent5" w:themeFillTint="33"/>
          </w:tcPr>
          <w:p w14:paraId="4AE5B580" w14:textId="0539BFE7" w:rsidR="004D28D2" w:rsidRPr="005A4A9A" w:rsidRDefault="004D28D2" w:rsidP="004D28D2">
            <w:pPr>
              <w:rPr>
                <w:sz w:val="24"/>
                <w:szCs w:val="24"/>
              </w:rPr>
            </w:pPr>
            <w:r>
              <w:rPr>
                <w:sz w:val="24"/>
                <w:szCs w:val="24"/>
              </w:rPr>
              <w:t>delbudget</w:t>
            </w:r>
          </w:p>
        </w:tc>
        <w:tc>
          <w:tcPr>
            <w:tcW w:w="1611" w:type="dxa"/>
            <w:shd w:val="clear" w:color="auto" w:fill="D9E2F3" w:themeFill="accent5" w:themeFillTint="33"/>
          </w:tcPr>
          <w:p w14:paraId="6970DACC" w14:textId="70BA3671"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D9E2F3" w:themeFill="accent5" w:themeFillTint="33"/>
          </w:tcPr>
          <w:p w14:paraId="2986A225" w14:textId="7B2EA782" w:rsidR="004D28D2" w:rsidRPr="00483D33" w:rsidRDefault="004D28D2" w:rsidP="004D28D2">
            <w:r>
              <w:t>Delegation on budgetary allocation (agenda+final+DS)/3</w:t>
            </w:r>
          </w:p>
        </w:tc>
      </w:tr>
      <w:tr w:rsidR="004D28D2" w:rsidRPr="005A4A9A" w14:paraId="0F8345BC" w14:textId="77777777" w:rsidTr="004D28D2">
        <w:tc>
          <w:tcPr>
            <w:tcW w:w="2340" w:type="dxa"/>
            <w:tcBorders>
              <w:left w:val="nil"/>
            </w:tcBorders>
            <w:shd w:val="clear" w:color="auto" w:fill="D9E2F3" w:themeFill="accent5" w:themeFillTint="33"/>
          </w:tcPr>
          <w:p w14:paraId="09D7218C" w14:textId="78C3EA0B" w:rsidR="004D28D2" w:rsidRPr="005A4A9A" w:rsidRDefault="004D28D2" w:rsidP="004D28D2">
            <w:pPr>
              <w:rPr>
                <w:sz w:val="24"/>
                <w:szCs w:val="24"/>
              </w:rPr>
            </w:pPr>
            <w:r>
              <w:rPr>
                <w:sz w:val="24"/>
                <w:szCs w:val="24"/>
              </w:rPr>
              <w:t>delcompl</w:t>
            </w:r>
            <w:r w:rsidR="001F4A53">
              <w:rPr>
                <w:sz w:val="24"/>
                <w:szCs w:val="24"/>
              </w:rPr>
              <w:t>iance</w:t>
            </w:r>
          </w:p>
        </w:tc>
        <w:tc>
          <w:tcPr>
            <w:tcW w:w="1611" w:type="dxa"/>
            <w:shd w:val="clear" w:color="auto" w:fill="D9E2F3" w:themeFill="accent5" w:themeFillTint="33"/>
          </w:tcPr>
          <w:p w14:paraId="1D2EB4B4" w14:textId="737F5746"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D9E2F3" w:themeFill="accent5" w:themeFillTint="33"/>
          </w:tcPr>
          <w:p w14:paraId="23D723C0" w14:textId="065DC6A6" w:rsidR="004D28D2" w:rsidRPr="00483D33" w:rsidRDefault="004D28D2" w:rsidP="004D28D2">
            <w:r>
              <w:t>Delegation on financial non-compliance (agenda+final+DS)/3</w:t>
            </w:r>
          </w:p>
        </w:tc>
      </w:tr>
      <w:tr w:rsidR="004D28D2" w:rsidRPr="005A4A9A" w14:paraId="156776F4" w14:textId="77777777" w:rsidTr="004D28D2">
        <w:tc>
          <w:tcPr>
            <w:tcW w:w="2340" w:type="dxa"/>
            <w:tcBorders>
              <w:left w:val="nil"/>
            </w:tcBorders>
            <w:shd w:val="clear" w:color="auto" w:fill="D9E2F3" w:themeFill="accent5" w:themeFillTint="33"/>
          </w:tcPr>
          <w:p w14:paraId="3A16EDA0" w14:textId="5783BCA4" w:rsidR="004D28D2" w:rsidRPr="005A4A9A" w:rsidRDefault="004D28D2" w:rsidP="004D28D2">
            <w:pPr>
              <w:rPr>
                <w:sz w:val="24"/>
                <w:szCs w:val="24"/>
              </w:rPr>
            </w:pPr>
            <w:r>
              <w:rPr>
                <w:sz w:val="24"/>
                <w:szCs w:val="24"/>
              </w:rPr>
              <w:t>delpolicy</w:t>
            </w:r>
          </w:p>
        </w:tc>
        <w:tc>
          <w:tcPr>
            <w:tcW w:w="1611" w:type="dxa"/>
            <w:shd w:val="clear" w:color="auto" w:fill="D9E2F3" w:themeFill="accent5" w:themeFillTint="33"/>
          </w:tcPr>
          <w:p w14:paraId="1CA6F309" w14:textId="7CD2DD69"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D9E2F3" w:themeFill="accent5" w:themeFillTint="33"/>
          </w:tcPr>
          <w:p w14:paraId="4BC666ED" w14:textId="35602C96" w:rsidR="004D28D2" w:rsidRPr="00483D33" w:rsidRDefault="004D28D2" w:rsidP="004D28D2">
            <w:r>
              <w:t>Delegation on policy making (highest of five streams) (agenda+final+DS)/3</w:t>
            </w:r>
          </w:p>
        </w:tc>
      </w:tr>
      <w:tr w:rsidR="004D28D2" w:rsidRPr="005A4A9A" w14:paraId="1A458FA4" w14:textId="77777777" w:rsidTr="007C401F">
        <w:tc>
          <w:tcPr>
            <w:tcW w:w="2340" w:type="dxa"/>
            <w:tcBorders>
              <w:left w:val="nil"/>
            </w:tcBorders>
            <w:shd w:val="clear" w:color="auto" w:fill="B4C6E7" w:themeFill="accent5" w:themeFillTint="66"/>
          </w:tcPr>
          <w:p w14:paraId="13895A74" w14:textId="3D268855" w:rsidR="004D28D2" w:rsidRDefault="004D28D2" w:rsidP="004D28D2">
            <w:pPr>
              <w:rPr>
                <w:sz w:val="24"/>
                <w:szCs w:val="24"/>
              </w:rPr>
            </w:pPr>
            <w:r>
              <w:rPr>
                <w:sz w:val="24"/>
                <w:szCs w:val="24"/>
              </w:rPr>
              <w:t>del_agenda</w:t>
            </w:r>
          </w:p>
        </w:tc>
        <w:tc>
          <w:tcPr>
            <w:tcW w:w="1611" w:type="dxa"/>
            <w:shd w:val="clear" w:color="auto" w:fill="B4C6E7" w:themeFill="accent5" w:themeFillTint="66"/>
          </w:tcPr>
          <w:p w14:paraId="175FD2C9" w14:textId="16157D87" w:rsidR="004D28D2" w:rsidRDefault="004D28D2" w:rsidP="004D28D2">
            <w:pPr>
              <w:jc w:val="center"/>
              <w:rPr>
                <w:sz w:val="24"/>
                <w:szCs w:val="24"/>
              </w:rPr>
            </w:pPr>
            <w:r>
              <w:rPr>
                <w:sz w:val="24"/>
                <w:szCs w:val="24"/>
              </w:rPr>
              <w:t>0-1</w:t>
            </w:r>
          </w:p>
        </w:tc>
        <w:tc>
          <w:tcPr>
            <w:tcW w:w="6147" w:type="dxa"/>
            <w:tcBorders>
              <w:right w:val="nil"/>
            </w:tcBorders>
            <w:shd w:val="clear" w:color="auto" w:fill="B4C6E7" w:themeFill="accent5" w:themeFillTint="66"/>
          </w:tcPr>
          <w:p w14:paraId="522616CD" w14:textId="432B22DE" w:rsidR="004D28D2" w:rsidRDefault="004D28D2" w:rsidP="004D28D2">
            <w:r>
              <w:t>Delegation on agenda setting</w:t>
            </w:r>
            <w:r w:rsidR="007C401F">
              <w:t xml:space="preserve"> (sum of agenda setting in 6 areas)/6 </w:t>
            </w:r>
          </w:p>
        </w:tc>
      </w:tr>
      <w:tr w:rsidR="004D28D2" w:rsidRPr="005A4A9A" w14:paraId="4DA09FA9" w14:textId="77777777" w:rsidTr="007C401F">
        <w:tc>
          <w:tcPr>
            <w:tcW w:w="2340" w:type="dxa"/>
            <w:tcBorders>
              <w:left w:val="nil"/>
            </w:tcBorders>
            <w:shd w:val="clear" w:color="auto" w:fill="B4C6E7" w:themeFill="accent5" w:themeFillTint="66"/>
          </w:tcPr>
          <w:p w14:paraId="0687BDB1" w14:textId="1F09F9E4" w:rsidR="004D28D2" w:rsidRDefault="004D28D2" w:rsidP="004D28D2">
            <w:pPr>
              <w:rPr>
                <w:sz w:val="24"/>
                <w:szCs w:val="24"/>
              </w:rPr>
            </w:pPr>
            <w:r>
              <w:rPr>
                <w:sz w:val="24"/>
                <w:szCs w:val="24"/>
              </w:rPr>
              <w:t>del_final</w:t>
            </w:r>
          </w:p>
        </w:tc>
        <w:tc>
          <w:tcPr>
            <w:tcW w:w="1611" w:type="dxa"/>
            <w:shd w:val="clear" w:color="auto" w:fill="B4C6E7" w:themeFill="accent5" w:themeFillTint="66"/>
          </w:tcPr>
          <w:p w14:paraId="2084F4E9" w14:textId="1F407753" w:rsidR="004D28D2" w:rsidRDefault="004D28D2" w:rsidP="004D28D2">
            <w:pPr>
              <w:jc w:val="center"/>
              <w:rPr>
                <w:sz w:val="24"/>
                <w:szCs w:val="24"/>
              </w:rPr>
            </w:pPr>
            <w:r>
              <w:rPr>
                <w:sz w:val="24"/>
                <w:szCs w:val="24"/>
              </w:rPr>
              <w:t>0-1</w:t>
            </w:r>
          </w:p>
        </w:tc>
        <w:tc>
          <w:tcPr>
            <w:tcW w:w="6147" w:type="dxa"/>
            <w:tcBorders>
              <w:right w:val="nil"/>
            </w:tcBorders>
            <w:shd w:val="clear" w:color="auto" w:fill="B4C6E7" w:themeFill="accent5" w:themeFillTint="66"/>
          </w:tcPr>
          <w:p w14:paraId="27B45EAB" w14:textId="58C345A5" w:rsidR="004D28D2" w:rsidRDefault="004D28D2" w:rsidP="004D28D2">
            <w:r>
              <w:t>Delegation on final decision</w:t>
            </w:r>
            <w:r w:rsidR="007C401F">
              <w:t xml:space="preserve"> (sum of final decision in 6 areas)?6</w:t>
            </w:r>
          </w:p>
        </w:tc>
      </w:tr>
      <w:tr w:rsidR="004D28D2" w:rsidRPr="005A4A9A" w14:paraId="7A8CA8E0" w14:textId="77777777" w:rsidTr="004D28D2">
        <w:tc>
          <w:tcPr>
            <w:tcW w:w="2340" w:type="dxa"/>
            <w:tcBorders>
              <w:top w:val="single" w:sz="12" w:space="0" w:color="auto"/>
              <w:left w:val="nil"/>
            </w:tcBorders>
            <w:shd w:val="clear" w:color="auto" w:fill="E2EFD9" w:themeFill="accent6" w:themeFillTint="33"/>
          </w:tcPr>
          <w:p w14:paraId="3D4B34D9" w14:textId="4B4F3050" w:rsidR="004D28D2" w:rsidRPr="005A4A9A" w:rsidRDefault="004D28D2" w:rsidP="004D28D2">
            <w:pPr>
              <w:rPr>
                <w:sz w:val="24"/>
                <w:szCs w:val="24"/>
              </w:rPr>
            </w:pPr>
            <w:r>
              <w:rPr>
                <w:sz w:val="24"/>
                <w:szCs w:val="24"/>
              </w:rPr>
              <w:t>poolaccess</w:t>
            </w:r>
          </w:p>
        </w:tc>
        <w:tc>
          <w:tcPr>
            <w:tcW w:w="1611" w:type="dxa"/>
            <w:tcBorders>
              <w:top w:val="single" w:sz="12" w:space="0" w:color="auto"/>
            </w:tcBorders>
            <w:shd w:val="clear" w:color="auto" w:fill="E2EFD9" w:themeFill="accent6" w:themeFillTint="33"/>
          </w:tcPr>
          <w:p w14:paraId="09374A3E" w14:textId="33D84C66" w:rsidR="004D28D2" w:rsidRPr="005A4A9A" w:rsidRDefault="004D28D2" w:rsidP="004D28D2">
            <w:pPr>
              <w:jc w:val="center"/>
              <w:rPr>
                <w:sz w:val="24"/>
                <w:szCs w:val="24"/>
              </w:rPr>
            </w:pPr>
            <w:r>
              <w:rPr>
                <w:sz w:val="24"/>
                <w:szCs w:val="24"/>
              </w:rPr>
              <w:t>0-1</w:t>
            </w:r>
          </w:p>
        </w:tc>
        <w:tc>
          <w:tcPr>
            <w:tcW w:w="6147" w:type="dxa"/>
            <w:tcBorders>
              <w:top w:val="single" w:sz="12" w:space="0" w:color="auto"/>
              <w:right w:val="nil"/>
            </w:tcBorders>
            <w:shd w:val="clear" w:color="auto" w:fill="E2EFD9" w:themeFill="accent6" w:themeFillTint="33"/>
          </w:tcPr>
          <w:p w14:paraId="2927E519" w14:textId="6A0B2DD5" w:rsidR="004D28D2" w:rsidRPr="00483D33" w:rsidRDefault="004D28D2" w:rsidP="004D28D2">
            <w:r>
              <w:t>Pooling on membership accession (agenda+ final + DS)/3</w:t>
            </w:r>
          </w:p>
        </w:tc>
      </w:tr>
      <w:tr w:rsidR="004D28D2" w:rsidRPr="005A4A9A" w14:paraId="29369000" w14:textId="77777777" w:rsidTr="004D28D2">
        <w:tc>
          <w:tcPr>
            <w:tcW w:w="2340" w:type="dxa"/>
            <w:tcBorders>
              <w:left w:val="nil"/>
            </w:tcBorders>
            <w:shd w:val="clear" w:color="auto" w:fill="E2EFD9" w:themeFill="accent6" w:themeFillTint="33"/>
          </w:tcPr>
          <w:p w14:paraId="01378D71" w14:textId="39237186" w:rsidR="004D28D2" w:rsidRPr="005A4A9A" w:rsidRDefault="004D28D2" w:rsidP="004D28D2">
            <w:pPr>
              <w:rPr>
                <w:sz w:val="24"/>
                <w:szCs w:val="24"/>
              </w:rPr>
            </w:pPr>
            <w:r>
              <w:rPr>
                <w:sz w:val="24"/>
                <w:szCs w:val="24"/>
              </w:rPr>
              <w:t>poolsuspens</w:t>
            </w:r>
          </w:p>
        </w:tc>
        <w:tc>
          <w:tcPr>
            <w:tcW w:w="1611" w:type="dxa"/>
            <w:shd w:val="clear" w:color="auto" w:fill="E2EFD9" w:themeFill="accent6" w:themeFillTint="33"/>
          </w:tcPr>
          <w:p w14:paraId="4B39E976" w14:textId="1E48F7EA"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E2EFD9" w:themeFill="accent6" w:themeFillTint="33"/>
          </w:tcPr>
          <w:p w14:paraId="07BE43AA" w14:textId="14567520" w:rsidR="004D28D2" w:rsidRPr="00483D33" w:rsidRDefault="004D28D2" w:rsidP="004D28D2">
            <w:r>
              <w:t>Pooling on suspension of a member (agenda+final+DS)/3</w:t>
            </w:r>
          </w:p>
        </w:tc>
      </w:tr>
      <w:tr w:rsidR="004D28D2" w:rsidRPr="005A4A9A" w14:paraId="0B2E7C9E" w14:textId="77777777" w:rsidTr="004D28D2">
        <w:tc>
          <w:tcPr>
            <w:tcW w:w="2340" w:type="dxa"/>
            <w:tcBorders>
              <w:left w:val="nil"/>
            </w:tcBorders>
            <w:shd w:val="clear" w:color="auto" w:fill="E2EFD9" w:themeFill="accent6" w:themeFillTint="33"/>
          </w:tcPr>
          <w:p w14:paraId="2D3F0F2B" w14:textId="3265FE2E" w:rsidR="004D28D2" w:rsidRPr="005A4A9A" w:rsidRDefault="004D28D2" w:rsidP="004D28D2">
            <w:pPr>
              <w:rPr>
                <w:sz w:val="24"/>
                <w:szCs w:val="24"/>
              </w:rPr>
            </w:pPr>
            <w:r>
              <w:rPr>
                <w:sz w:val="24"/>
                <w:szCs w:val="24"/>
              </w:rPr>
              <w:t>poolconstit</w:t>
            </w:r>
          </w:p>
        </w:tc>
        <w:tc>
          <w:tcPr>
            <w:tcW w:w="1611" w:type="dxa"/>
            <w:shd w:val="clear" w:color="auto" w:fill="E2EFD9" w:themeFill="accent6" w:themeFillTint="33"/>
          </w:tcPr>
          <w:p w14:paraId="67359CD1" w14:textId="6A4D8BA7"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E2EFD9" w:themeFill="accent6" w:themeFillTint="33"/>
          </w:tcPr>
          <w:p w14:paraId="0ECDE09C" w14:textId="46D6D125" w:rsidR="004D28D2" w:rsidRPr="00483D33" w:rsidRDefault="004D28D2" w:rsidP="004D28D2">
            <w:r>
              <w:t>Pooling on constitutional reform (agenda+final+DS)/3</w:t>
            </w:r>
          </w:p>
        </w:tc>
      </w:tr>
      <w:tr w:rsidR="004D28D2" w:rsidRPr="005A4A9A" w14:paraId="06BB7C7F" w14:textId="77777777" w:rsidTr="004D28D2">
        <w:tc>
          <w:tcPr>
            <w:tcW w:w="2340" w:type="dxa"/>
            <w:tcBorders>
              <w:left w:val="nil"/>
            </w:tcBorders>
            <w:shd w:val="clear" w:color="auto" w:fill="E2EFD9" w:themeFill="accent6" w:themeFillTint="33"/>
          </w:tcPr>
          <w:p w14:paraId="116F78DE" w14:textId="1D3D08D1" w:rsidR="004D28D2" w:rsidRPr="005A4A9A" w:rsidRDefault="004D28D2" w:rsidP="004D28D2">
            <w:pPr>
              <w:rPr>
                <w:sz w:val="24"/>
                <w:szCs w:val="24"/>
              </w:rPr>
            </w:pPr>
            <w:r>
              <w:rPr>
                <w:sz w:val="24"/>
                <w:szCs w:val="24"/>
              </w:rPr>
              <w:t>poolbudget</w:t>
            </w:r>
          </w:p>
        </w:tc>
        <w:tc>
          <w:tcPr>
            <w:tcW w:w="1611" w:type="dxa"/>
            <w:shd w:val="clear" w:color="auto" w:fill="E2EFD9" w:themeFill="accent6" w:themeFillTint="33"/>
          </w:tcPr>
          <w:p w14:paraId="7C7C8A5A" w14:textId="698B3F9F"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E2EFD9" w:themeFill="accent6" w:themeFillTint="33"/>
          </w:tcPr>
          <w:p w14:paraId="50D49741" w14:textId="362EC665" w:rsidR="004D28D2" w:rsidRPr="00483D33" w:rsidRDefault="004D28D2" w:rsidP="004D28D2">
            <w:r>
              <w:t>Pooling on budgetary allocation (agenda+final+DS)/3</w:t>
            </w:r>
          </w:p>
        </w:tc>
      </w:tr>
      <w:tr w:rsidR="004D28D2" w:rsidRPr="005A4A9A" w14:paraId="6B1A26D8" w14:textId="77777777" w:rsidTr="004D28D2">
        <w:tc>
          <w:tcPr>
            <w:tcW w:w="2340" w:type="dxa"/>
            <w:tcBorders>
              <w:left w:val="nil"/>
            </w:tcBorders>
            <w:shd w:val="clear" w:color="auto" w:fill="E2EFD9" w:themeFill="accent6" w:themeFillTint="33"/>
          </w:tcPr>
          <w:p w14:paraId="61A3CC7B" w14:textId="210248E0" w:rsidR="004D28D2" w:rsidRPr="00A90B69" w:rsidRDefault="004D28D2" w:rsidP="004D28D2">
            <w:pPr>
              <w:rPr>
                <w:b/>
                <w:sz w:val="24"/>
                <w:szCs w:val="24"/>
              </w:rPr>
            </w:pPr>
            <w:r>
              <w:rPr>
                <w:sz w:val="24"/>
                <w:szCs w:val="24"/>
              </w:rPr>
              <w:t>poolcompliance</w:t>
            </w:r>
          </w:p>
        </w:tc>
        <w:tc>
          <w:tcPr>
            <w:tcW w:w="1611" w:type="dxa"/>
            <w:shd w:val="clear" w:color="auto" w:fill="E2EFD9" w:themeFill="accent6" w:themeFillTint="33"/>
          </w:tcPr>
          <w:p w14:paraId="63E87B4D" w14:textId="15873642"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E2EFD9" w:themeFill="accent6" w:themeFillTint="33"/>
          </w:tcPr>
          <w:p w14:paraId="68CF1309" w14:textId="4DD10D3C" w:rsidR="004D28D2" w:rsidRPr="00483D33" w:rsidRDefault="004D28D2" w:rsidP="004D28D2">
            <w:r>
              <w:t>Pooling on financial non-compliance (agenda+final+DS)/3</w:t>
            </w:r>
          </w:p>
        </w:tc>
      </w:tr>
      <w:tr w:rsidR="004D28D2" w:rsidRPr="005A4A9A" w14:paraId="6973E86F" w14:textId="77777777" w:rsidTr="004D28D2">
        <w:tc>
          <w:tcPr>
            <w:tcW w:w="2340" w:type="dxa"/>
            <w:tcBorders>
              <w:left w:val="nil"/>
            </w:tcBorders>
            <w:shd w:val="clear" w:color="auto" w:fill="E2EFD9" w:themeFill="accent6" w:themeFillTint="33"/>
          </w:tcPr>
          <w:p w14:paraId="65511FDB" w14:textId="538CDD0B" w:rsidR="004D28D2" w:rsidRDefault="004D28D2" w:rsidP="004D28D2">
            <w:pPr>
              <w:rPr>
                <w:sz w:val="24"/>
                <w:szCs w:val="24"/>
              </w:rPr>
            </w:pPr>
            <w:r>
              <w:rPr>
                <w:sz w:val="24"/>
                <w:szCs w:val="24"/>
              </w:rPr>
              <w:t>poolpolicy</w:t>
            </w:r>
          </w:p>
        </w:tc>
        <w:tc>
          <w:tcPr>
            <w:tcW w:w="1611" w:type="dxa"/>
            <w:shd w:val="clear" w:color="auto" w:fill="E2EFD9" w:themeFill="accent6" w:themeFillTint="33"/>
          </w:tcPr>
          <w:p w14:paraId="74400A45" w14:textId="4482B30A" w:rsidR="004D28D2" w:rsidRPr="005A4A9A" w:rsidRDefault="004D28D2" w:rsidP="004D28D2">
            <w:pPr>
              <w:jc w:val="center"/>
              <w:rPr>
                <w:sz w:val="24"/>
                <w:szCs w:val="24"/>
              </w:rPr>
            </w:pPr>
            <w:r>
              <w:rPr>
                <w:sz w:val="24"/>
                <w:szCs w:val="24"/>
              </w:rPr>
              <w:t>0-1</w:t>
            </w:r>
          </w:p>
        </w:tc>
        <w:tc>
          <w:tcPr>
            <w:tcW w:w="6147" w:type="dxa"/>
            <w:tcBorders>
              <w:right w:val="nil"/>
            </w:tcBorders>
            <w:shd w:val="clear" w:color="auto" w:fill="E2EFD9" w:themeFill="accent6" w:themeFillTint="33"/>
          </w:tcPr>
          <w:p w14:paraId="57D6E09E" w14:textId="3C35B243" w:rsidR="004D28D2" w:rsidRPr="00483D33" w:rsidRDefault="004D28D2" w:rsidP="004D28D2">
            <w:r>
              <w:t>Pooling on policy making (highest of five streams) (agenda+final+DS)/3</w:t>
            </w:r>
          </w:p>
        </w:tc>
      </w:tr>
      <w:tr w:rsidR="007C401F" w:rsidRPr="005A4A9A" w14:paraId="022B1868" w14:textId="77777777" w:rsidTr="00CA3C81">
        <w:tc>
          <w:tcPr>
            <w:tcW w:w="2340" w:type="dxa"/>
            <w:tcBorders>
              <w:left w:val="nil"/>
            </w:tcBorders>
            <w:shd w:val="clear" w:color="auto" w:fill="B4C6E7" w:themeFill="accent5" w:themeFillTint="66"/>
          </w:tcPr>
          <w:p w14:paraId="1EA8DEC4" w14:textId="4E6B13EC" w:rsidR="007C401F" w:rsidRDefault="007C401F" w:rsidP="007C401F">
            <w:pPr>
              <w:rPr>
                <w:sz w:val="24"/>
                <w:szCs w:val="24"/>
              </w:rPr>
            </w:pPr>
            <w:r>
              <w:rPr>
                <w:sz w:val="24"/>
                <w:szCs w:val="24"/>
              </w:rPr>
              <w:t>pool_agenda</w:t>
            </w:r>
          </w:p>
        </w:tc>
        <w:tc>
          <w:tcPr>
            <w:tcW w:w="1611" w:type="dxa"/>
            <w:shd w:val="clear" w:color="auto" w:fill="B4C6E7" w:themeFill="accent5" w:themeFillTint="66"/>
          </w:tcPr>
          <w:p w14:paraId="4F76C305" w14:textId="74D664AB" w:rsidR="007C401F" w:rsidRPr="005A4A9A" w:rsidRDefault="007C401F" w:rsidP="007C401F">
            <w:pPr>
              <w:jc w:val="center"/>
              <w:rPr>
                <w:sz w:val="24"/>
                <w:szCs w:val="24"/>
              </w:rPr>
            </w:pPr>
            <w:r>
              <w:rPr>
                <w:sz w:val="24"/>
                <w:szCs w:val="24"/>
              </w:rPr>
              <w:t>0-1</w:t>
            </w:r>
          </w:p>
        </w:tc>
        <w:tc>
          <w:tcPr>
            <w:tcW w:w="6147" w:type="dxa"/>
            <w:tcBorders>
              <w:right w:val="nil"/>
            </w:tcBorders>
            <w:shd w:val="clear" w:color="auto" w:fill="B4C6E7" w:themeFill="accent5" w:themeFillTint="66"/>
          </w:tcPr>
          <w:p w14:paraId="1A246B0A" w14:textId="6909CD8D" w:rsidR="007C401F" w:rsidRPr="00483D33" w:rsidRDefault="007C401F" w:rsidP="007C401F">
            <w:r>
              <w:t>Pooling on agenda setting (sum of agenda setting in 6 areas)/6</w:t>
            </w:r>
          </w:p>
        </w:tc>
      </w:tr>
      <w:tr w:rsidR="007C401F" w:rsidRPr="005A4A9A" w14:paraId="5B807ED9" w14:textId="77777777" w:rsidTr="00CA3C81">
        <w:tc>
          <w:tcPr>
            <w:tcW w:w="2340" w:type="dxa"/>
            <w:tcBorders>
              <w:left w:val="nil"/>
            </w:tcBorders>
            <w:shd w:val="clear" w:color="auto" w:fill="B4C6E7" w:themeFill="accent5" w:themeFillTint="66"/>
          </w:tcPr>
          <w:p w14:paraId="4A5402FB" w14:textId="0422DA41" w:rsidR="007C401F" w:rsidRDefault="007C401F" w:rsidP="007C401F">
            <w:pPr>
              <w:rPr>
                <w:sz w:val="24"/>
                <w:szCs w:val="24"/>
              </w:rPr>
            </w:pPr>
            <w:r>
              <w:rPr>
                <w:sz w:val="24"/>
                <w:szCs w:val="24"/>
              </w:rPr>
              <w:lastRenderedPageBreak/>
              <w:t>pool_final</w:t>
            </w:r>
          </w:p>
        </w:tc>
        <w:tc>
          <w:tcPr>
            <w:tcW w:w="1611" w:type="dxa"/>
            <w:shd w:val="clear" w:color="auto" w:fill="B4C6E7" w:themeFill="accent5" w:themeFillTint="66"/>
          </w:tcPr>
          <w:p w14:paraId="14032FAE" w14:textId="46CD2E3E" w:rsidR="007C401F" w:rsidRPr="005A4A9A" w:rsidRDefault="007C401F" w:rsidP="007C401F">
            <w:pPr>
              <w:jc w:val="center"/>
              <w:rPr>
                <w:sz w:val="24"/>
                <w:szCs w:val="24"/>
              </w:rPr>
            </w:pPr>
            <w:r>
              <w:rPr>
                <w:sz w:val="24"/>
                <w:szCs w:val="24"/>
              </w:rPr>
              <w:t>0-1</w:t>
            </w:r>
          </w:p>
        </w:tc>
        <w:tc>
          <w:tcPr>
            <w:tcW w:w="6147" w:type="dxa"/>
            <w:tcBorders>
              <w:right w:val="nil"/>
            </w:tcBorders>
            <w:shd w:val="clear" w:color="auto" w:fill="B4C6E7" w:themeFill="accent5" w:themeFillTint="66"/>
          </w:tcPr>
          <w:p w14:paraId="5948DE2E" w14:textId="4AA680CE" w:rsidR="007C401F" w:rsidRPr="00483D33" w:rsidRDefault="007C401F" w:rsidP="007C401F">
            <w:r>
              <w:t>Pooling on final decision (sum of final decision in 6 areas)/6</w:t>
            </w:r>
          </w:p>
        </w:tc>
      </w:tr>
      <w:tr w:rsidR="004D28D2" w:rsidRPr="005A4A9A" w14:paraId="23426B68" w14:textId="77777777" w:rsidTr="007C401F">
        <w:tc>
          <w:tcPr>
            <w:tcW w:w="2340" w:type="dxa"/>
            <w:tcBorders>
              <w:left w:val="nil"/>
            </w:tcBorders>
            <w:shd w:val="clear" w:color="auto" w:fill="F2F2F2" w:themeFill="background1" w:themeFillShade="F2"/>
          </w:tcPr>
          <w:p w14:paraId="6B8F3980" w14:textId="6932A0EC" w:rsidR="004D28D2" w:rsidRDefault="007C401F" w:rsidP="004D28D2">
            <w:pPr>
              <w:rPr>
                <w:sz w:val="24"/>
                <w:szCs w:val="24"/>
              </w:rPr>
            </w:pPr>
            <w:r>
              <w:rPr>
                <w:sz w:val="24"/>
                <w:szCs w:val="24"/>
              </w:rPr>
              <w:t>coverage1</w:t>
            </w:r>
          </w:p>
        </w:tc>
        <w:tc>
          <w:tcPr>
            <w:tcW w:w="1611" w:type="dxa"/>
            <w:shd w:val="clear" w:color="auto" w:fill="F2F2F2" w:themeFill="background1" w:themeFillShade="F2"/>
          </w:tcPr>
          <w:p w14:paraId="709DC833" w14:textId="099C3C91" w:rsidR="004D28D2" w:rsidRPr="005A4A9A" w:rsidRDefault="007C401F" w:rsidP="004D28D2">
            <w:pPr>
              <w:jc w:val="center"/>
              <w:rPr>
                <w:sz w:val="24"/>
                <w:szCs w:val="24"/>
              </w:rPr>
            </w:pPr>
            <w:r>
              <w:rPr>
                <w:sz w:val="24"/>
                <w:szCs w:val="24"/>
              </w:rPr>
              <w:t>0-1</w:t>
            </w:r>
          </w:p>
        </w:tc>
        <w:tc>
          <w:tcPr>
            <w:tcW w:w="6147" w:type="dxa"/>
            <w:tcBorders>
              <w:right w:val="nil"/>
            </w:tcBorders>
            <w:shd w:val="clear" w:color="auto" w:fill="F2F2F2" w:themeFill="background1" w:themeFillShade="F2"/>
          </w:tcPr>
          <w:p w14:paraId="3052A4A8" w14:textId="77777777" w:rsidR="004D28D2" w:rsidRDefault="007C401F" w:rsidP="004D28D2">
            <w:r>
              <w:t>Is the dispute settlement obligatory to all? (0,1,2)</w:t>
            </w:r>
          </w:p>
          <w:p w14:paraId="7D1D8164" w14:textId="77777777" w:rsidR="00D565B2" w:rsidRDefault="00D565B2" w:rsidP="004D28D2">
            <w:r>
              <w:t>0: no dispute settlement</w:t>
            </w:r>
          </w:p>
          <w:p w14:paraId="5CB26F62" w14:textId="77777777" w:rsidR="00D565B2" w:rsidRDefault="00D565B2" w:rsidP="004D28D2">
            <w:r>
              <w:t>1: not obligatory – Members can opt out</w:t>
            </w:r>
          </w:p>
          <w:p w14:paraId="70165186" w14:textId="1248E31A" w:rsidR="00D565B2" w:rsidRPr="00483D33" w:rsidRDefault="00D565B2" w:rsidP="004D28D2">
            <w:r>
              <w:t>2: obligatory – Members cannot opt out</w:t>
            </w:r>
          </w:p>
        </w:tc>
      </w:tr>
      <w:tr w:rsidR="004D28D2" w:rsidRPr="005A4A9A" w14:paraId="45586BE3" w14:textId="77777777" w:rsidTr="007C401F">
        <w:tc>
          <w:tcPr>
            <w:tcW w:w="2340" w:type="dxa"/>
            <w:tcBorders>
              <w:left w:val="nil"/>
            </w:tcBorders>
            <w:shd w:val="clear" w:color="auto" w:fill="F2F2F2" w:themeFill="background1" w:themeFillShade="F2"/>
          </w:tcPr>
          <w:p w14:paraId="461F33A5" w14:textId="54613C77" w:rsidR="004D28D2" w:rsidRPr="005A4A9A" w:rsidRDefault="007C401F" w:rsidP="004D28D2">
            <w:pPr>
              <w:keepNext/>
              <w:rPr>
                <w:sz w:val="24"/>
                <w:szCs w:val="24"/>
              </w:rPr>
            </w:pPr>
            <w:r>
              <w:rPr>
                <w:sz w:val="24"/>
                <w:szCs w:val="24"/>
              </w:rPr>
              <w:t>thirdparty1</w:t>
            </w:r>
          </w:p>
        </w:tc>
        <w:tc>
          <w:tcPr>
            <w:tcW w:w="1611" w:type="dxa"/>
            <w:shd w:val="clear" w:color="auto" w:fill="F2F2F2" w:themeFill="background1" w:themeFillShade="F2"/>
          </w:tcPr>
          <w:p w14:paraId="360D29FE" w14:textId="04B320A5" w:rsidR="004D28D2" w:rsidRPr="005A4A9A" w:rsidRDefault="007C401F" w:rsidP="004D28D2">
            <w:pPr>
              <w:keepNext/>
              <w:jc w:val="center"/>
              <w:rPr>
                <w:sz w:val="24"/>
                <w:szCs w:val="24"/>
              </w:rPr>
            </w:pPr>
            <w:r>
              <w:rPr>
                <w:sz w:val="24"/>
                <w:szCs w:val="24"/>
              </w:rPr>
              <w:t>0-1</w:t>
            </w:r>
          </w:p>
        </w:tc>
        <w:tc>
          <w:tcPr>
            <w:tcW w:w="6147" w:type="dxa"/>
            <w:tcBorders>
              <w:right w:val="nil"/>
            </w:tcBorders>
            <w:shd w:val="clear" w:color="auto" w:fill="F2F2F2" w:themeFill="background1" w:themeFillShade="F2"/>
          </w:tcPr>
          <w:p w14:paraId="70FA06FD" w14:textId="77777777" w:rsidR="004D28D2" w:rsidRDefault="007C401F" w:rsidP="004D28D2">
            <w:pPr>
              <w:keepNext/>
            </w:pPr>
            <w:r>
              <w:t>Is there an explict right to third party review? (0,1,2)</w:t>
            </w:r>
          </w:p>
          <w:p w14:paraId="177B3EB5" w14:textId="77777777" w:rsidR="00D565B2" w:rsidRDefault="00D565B2" w:rsidP="00D565B2">
            <w:pPr>
              <w:keepNext/>
            </w:pPr>
            <w:r>
              <w:t>0:no right to third-party review</w:t>
            </w:r>
          </w:p>
          <w:p w14:paraId="63FEEE2B" w14:textId="77777777" w:rsidR="00D565B2" w:rsidRDefault="00D565B2" w:rsidP="00D565B2">
            <w:pPr>
              <w:keepNext/>
            </w:pPr>
            <w:r>
              <w:t>1: access is controlled by a political body</w:t>
            </w:r>
          </w:p>
          <w:p w14:paraId="31B69AAB" w14:textId="50A962F6" w:rsidR="00D565B2" w:rsidRPr="00483D33" w:rsidRDefault="00D565B2" w:rsidP="00D565B2">
            <w:pPr>
              <w:keepNext/>
            </w:pPr>
            <w:r>
              <w:t>2: automatic right to third-party review</w:t>
            </w:r>
          </w:p>
        </w:tc>
      </w:tr>
      <w:tr w:rsidR="004D28D2" w:rsidRPr="005A4A9A" w14:paraId="5B2D1D01" w14:textId="77777777" w:rsidTr="007C401F">
        <w:tc>
          <w:tcPr>
            <w:tcW w:w="2340" w:type="dxa"/>
            <w:tcBorders>
              <w:left w:val="nil"/>
            </w:tcBorders>
            <w:shd w:val="clear" w:color="auto" w:fill="F2F2F2" w:themeFill="background1" w:themeFillShade="F2"/>
          </w:tcPr>
          <w:p w14:paraId="6C2FAE2A" w14:textId="07FFA0E1" w:rsidR="004D28D2" w:rsidRPr="005A4A9A" w:rsidRDefault="007C401F" w:rsidP="004D28D2">
            <w:pPr>
              <w:rPr>
                <w:sz w:val="24"/>
                <w:szCs w:val="24"/>
              </w:rPr>
            </w:pPr>
            <w:r>
              <w:rPr>
                <w:sz w:val="24"/>
                <w:szCs w:val="24"/>
              </w:rPr>
              <w:t>tribunal1</w:t>
            </w:r>
          </w:p>
        </w:tc>
        <w:tc>
          <w:tcPr>
            <w:tcW w:w="1611" w:type="dxa"/>
            <w:shd w:val="clear" w:color="auto" w:fill="F2F2F2" w:themeFill="background1" w:themeFillShade="F2"/>
          </w:tcPr>
          <w:p w14:paraId="7C398521" w14:textId="1D216706" w:rsidR="004D28D2" w:rsidRPr="005A4A9A" w:rsidRDefault="007C401F" w:rsidP="004D28D2">
            <w:pPr>
              <w:jc w:val="center"/>
              <w:rPr>
                <w:sz w:val="24"/>
                <w:szCs w:val="24"/>
              </w:rPr>
            </w:pPr>
            <w:r>
              <w:rPr>
                <w:sz w:val="24"/>
                <w:szCs w:val="24"/>
              </w:rPr>
              <w:t>0-1</w:t>
            </w:r>
          </w:p>
        </w:tc>
        <w:tc>
          <w:tcPr>
            <w:tcW w:w="6147" w:type="dxa"/>
            <w:tcBorders>
              <w:right w:val="nil"/>
            </w:tcBorders>
            <w:shd w:val="clear" w:color="auto" w:fill="F2F2F2" w:themeFill="background1" w:themeFillShade="F2"/>
          </w:tcPr>
          <w:p w14:paraId="5D55B38C" w14:textId="77777777" w:rsidR="004D28D2" w:rsidRDefault="007C401F" w:rsidP="004D28D2">
            <w:pPr>
              <w:ind w:left="144" w:hanging="144"/>
            </w:pPr>
            <w:r>
              <w:t>How is the tribunal composed? (0,1,2)</w:t>
            </w:r>
          </w:p>
          <w:p w14:paraId="0B750FDB" w14:textId="77777777" w:rsidR="00D565B2" w:rsidRDefault="00D565B2" w:rsidP="004D28D2">
            <w:pPr>
              <w:ind w:left="144" w:hanging="144"/>
            </w:pPr>
            <w:r>
              <w:t>0: no tribunal</w:t>
            </w:r>
          </w:p>
          <w:p w14:paraId="7E022A63" w14:textId="77777777" w:rsidR="00D565B2" w:rsidRDefault="00D565B2" w:rsidP="004D28D2">
            <w:pPr>
              <w:ind w:left="144" w:hanging="144"/>
            </w:pPr>
            <w:r>
              <w:t>1: tribunal is composed of ad hoc arbitrators</w:t>
            </w:r>
          </w:p>
          <w:p w14:paraId="0E512CB7" w14:textId="6F9F16ED" w:rsidR="00D565B2" w:rsidRPr="00483D33" w:rsidRDefault="00D565B2" w:rsidP="004D28D2">
            <w:pPr>
              <w:ind w:left="144" w:hanging="144"/>
            </w:pPr>
            <w:r>
              <w:t>2: standing body of justices who rule collectively during extended terms of service</w:t>
            </w:r>
          </w:p>
        </w:tc>
      </w:tr>
      <w:tr w:rsidR="004D28D2" w:rsidRPr="005A4A9A" w14:paraId="000AD568" w14:textId="77777777" w:rsidTr="007C401F">
        <w:tc>
          <w:tcPr>
            <w:tcW w:w="2340" w:type="dxa"/>
            <w:tcBorders>
              <w:left w:val="nil"/>
            </w:tcBorders>
            <w:shd w:val="clear" w:color="auto" w:fill="F2F2F2" w:themeFill="background1" w:themeFillShade="F2"/>
          </w:tcPr>
          <w:p w14:paraId="6CBE95DD" w14:textId="0AB5539F" w:rsidR="004D28D2" w:rsidRPr="005A4A9A" w:rsidRDefault="007C401F" w:rsidP="004D28D2">
            <w:pPr>
              <w:rPr>
                <w:sz w:val="24"/>
                <w:szCs w:val="24"/>
              </w:rPr>
            </w:pPr>
            <w:r>
              <w:rPr>
                <w:sz w:val="24"/>
                <w:szCs w:val="24"/>
              </w:rPr>
              <w:t>binding1</w:t>
            </w:r>
          </w:p>
        </w:tc>
        <w:tc>
          <w:tcPr>
            <w:tcW w:w="1611" w:type="dxa"/>
            <w:shd w:val="clear" w:color="auto" w:fill="F2F2F2" w:themeFill="background1" w:themeFillShade="F2"/>
          </w:tcPr>
          <w:p w14:paraId="66882BB4" w14:textId="2521952C" w:rsidR="004D28D2" w:rsidRPr="005A4A9A" w:rsidRDefault="007C401F" w:rsidP="004D28D2">
            <w:pPr>
              <w:jc w:val="center"/>
              <w:rPr>
                <w:sz w:val="24"/>
                <w:szCs w:val="24"/>
              </w:rPr>
            </w:pPr>
            <w:r>
              <w:rPr>
                <w:sz w:val="24"/>
                <w:szCs w:val="24"/>
              </w:rPr>
              <w:t>0-1</w:t>
            </w:r>
          </w:p>
        </w:tc>
        <w:tc>
          <w:tcPr>
            <w:tcW w:w="6147" w:type="dxa"/>
            <w:tcBorders>
              <w:right w:val="nil"/>
            </w:tcBorders>
            <w:shd w:val="clear" w:color="auto" w:fill="F2F2F2" w:themeFill="background1" w:themeFillShade="F2"/>
          </w:tcPr>
          <w:p w14:paraId="55A89CB0" w14:textId="77777777" w:rsidR="004D28D2" w:rsidRDefault="007C401F" w:rsidP="004D28D2">
            <w:pPr>
              <w:ind w:left="144" w:hanging="144"/>
            </w:pPr>
            <w:r>
              <w:t>Is adjudication binding? (0,1,2)</w:t>
            </w:r>
          </w:p>
          <w:p w14:paraId="7BCF73BA" w14:textId="77777777" w:rsidR="00D565B2" w:rsidRDefault="00D565B2" w:rsidP="004D28D2">
            <w:pPr>
              <w:ind w:left="144" w:hanging="144"/>
            </w:pPr>
            <w:r>
              <w:t>0: not binding</w:t>
            </w:r>
          </w:p>
          <w:p w14:paraId="460FDE13" w14:textId="77777777" w:rsidR="00D565B2" w:rsidRDefault="00D565B2" w:rsidP="004D28D2">
            <w:pPr>
              <w:ind w:left="144" w:hanging="144"/>
            </w:pPr>
            <w:r>
              <w:t>1: binding if there is ex ante agreement among disputing parties</w:t>
            </w:r>
          </w:p>
          <w:p w14:paraId="04565BC2" w14:textId="6126242F" w:rsidR="00D565B2" w:rsidRPr="00483D33" w:rsidRDefault="00D565B2" w:rsidP="004D28D2">
            <w:pPr>
              <w:ind w:left="144" w:hanging="144"/>
            </w:pPr>
            <w:r>
              <w:t>2: directly binding</w:t>
            </w:r>
          </w:p>
        </w:tc>
      </w:tr>
      <w:tr w:rsidR="00D565B2" w:rsidRPr="005A4A9A" w14:paraId="4D969D75" w14:textId="77777777" w:rsidTr="007C401F">
        <w:tc>
          <w:tcPr>
            <w:tcW w:w="2340" w:type="dxa"/>
            <w:tcBorders>
              <w:left w:val="nil"/>
            </w:tcBorders>
            <w:shd w:val="clear" w:color="auto" w:fill="F2F2F2" w:themeFill="background1" w:themeFillShade="F2"/>
          </w:tcPr>
          <w:p w14:paraId="5C53D526" w14:textId="4300F358" w:rsidR="00D565B2" w:rsidRDefault="00D565B2" w:rsidP="00D565B2">
            <w:pPr>
              <w:rPr>
                <w:sz w:val="24"/>
                <w:szCs w:val="24"/>
              </w:rPr>
            </w:pPr>
            <w:r>
              <w:rPr>
                <w:sz w:val="24"/>
                <w:szCs w:val="24"/>
              </w:rPr>
              <w:t>nonstate1</w:t>
            </w:r>
          </w:p>
        </w:tc>
        <w:tc>
          <w:tcPr>
            <w:tcW w:w="1611" w:type="dxa"/>
            <w:shd w:val="clear" w:color="auto" w:fill="F2F2F2" w:themeFill="background1" w:themeFillShade="F2"/>
          </w:tcPr>
          <w:p w14:paraId="1724EDFF" w14:textId="1684547B" w:rsidR="00D565B2"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33EFB657" w14:textId="77777777" w:rsidR="00D565B2" w:rsidRDefault="00D565B2" w:rsidP="00D565B2">
            <w:pPr>
              <w:ind w:left="144" w:hanging="144"/>
            </w:pPr>
            <w:r>
              <w:t>Do non-state actors have legal standing? (0,1,2)</w:t>
            </w:r>
          </w:p>
          <w:p w14:paraId="4A208F21" w14:textId="77777777" w:rsidR="00D565B2" w:rsidRDefault="00D565B2" w:rsidP="00D565B2">
            <w:pPr>
              <w:ind w:left="144" w:hanging="144"/>
            </w:pPr>
            <w:r>
              <w:t>0: on member states can initiate dispute resolution</w:t>
            </w:r>
          </w:p>
          <w:p w14:paraId="5AE0AB6D" w14:textId="77777777" w:rsidR="00D565B2" w:rsidRDefault="00D565B2" w:rsidP="00D565B2">
            <w:pPr>
              <w:ind w:left="144" w:hanging="144"/>
            </w:pPr>
            <w:r>
              <w:t>1: the international secretariat can initiate dispute resolution</w:t>
            </w:r>
          </w:p>
          <w:p w14:paraId="7ECB0548" w14:textId="624CAB33" w:rsidR="00D565B2" w:rsidRDefault="00D565B2" w:rsidP="00D565B2">
            <w:pPr>
              <w:ind w:left="144" w:hanging="144"/>
            </w:pPr>
            <w:r>
              <w:t>2: non-state actors as well as state actors can initiate</w:t>
            </w:r>
          </w:p>
        </w:tc>
      </w:tr>
      <w:tr w:rsidR="00D565B2" w:rsidRPr="005A4A9A" w14:paraId="26132470" w14:textId="77777777" w:rsidTr="007C401F">
        <w:tc>
          <w:tcPr>
            <w:tcW w:w="2340" w:type="dxa"/>
            <w:tcBorders>
              <w:left w:val="nil"/>
            </w:tcBorders>
            <w:shd w:val="clear" w:color="auto" w:fill="F2F2F2" w:themeFill="background1" w:themeFillShade="F2"/>
          </w:tcPr>
          <w:p w14:paraId="3AA9A58A" w14:textId="1868DC0F" w:rsidR="00D565B2" w:rsidRPr="005A4A9A" w:rsidRDefault="00D565B2" w:rsidP="00D565B2">
            <w:pPr>
              <w:rPr>
                <w:sz w:val="24"/>
                <w:szCs w:val="24"/>
              </w:rPr>
            </w:pPr>
            <w:r>
              <w:rPr>
                <w:sz w:val="24"/>
                <w:szCs w:val="24"/>
              </w:rPr>
              <w:t>remedy1</w:t>
            </w:r>
          </w:p>
        </w:tc>
        <w:tc>
          <w:tcPr>
            <w:tcW w:w="1611" w:type="dxa"/>
            <w:shd w:val="clear" w:color="auto" w:fill="F2F2F2" w:themeFill="background1" w:themeFillShade="F2"/>
          </w:tcPr>
          <w:p w14:paraId="19405FCD" w14:textId="6C9F6E2A"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0AA8B738" w14:textId="77777777" w:rsidR="00D565B2" w:rsidRDefault="00D565B2" w:rsidP="00D565B2">
            <w:pPr>
              <w:ind w:left="144" w:hanging="144"/>
            </w:pPr>
            <w:r>
              <w:t>Is there remedy for non-compliance to the ruling? (0,1,2)</w:t>
            </w:r>
          </w:p>
          <w:p w14:paraId="3F0D4A0F" w14:textId="77777777" w:rsidR="0028316B" w:rsidRDefault="0028316B" w:rsidP="00D565B2">
            <w:pPr>
              <w:ind w:left="144" w:hanging="144"/>
            </w:pPr>
            <w:r>
              <w:t>0: no remedy for non-compliance</w:t>
            </w:r>
          </w:p>
          <w:p w14:paraId="068851B6" w14:textId="77777777" w:rsidR="0028316B" w:rsidRDefault="0028316B" w:rsidP="00D565B2">
            <w:pPr>
              <w:ind w:left="144" w:hanging="144"/>
            </w:pPr>
            <w:r>
              <w:t>1: remedy is retaliatory sanctions</w:t>
            </w:r>
          </w:p>
          <w:p w14:paraId="272A8A94" w14:textId="66752E10" w:rsidR="0028316B" w:rsidRPr="00483D33" w:rsidRDefault="0028316B" w:rsidP="00D565B2">
            <w:pPr>
              <w:ind w:left="144" w:hanging="144"/>
            </w:pPr>
            <w:r>
              <w:t>2: court rulings have direct effect</w:t>
            </w:r>
          </w:p>
        </w:tc>
      </w:tr>
      <w:tr w:rsidR="00D565B2" w:rsidRPr="005A4A9A" w14:paraId="1B2E7EFD" w14:textId="77777777" w:rsidTr="007C401F">
        <w:tc>
          <w:tcPr>
            <w:tcW w:w="2340" w:type="dxa"/>
            <w:tcBorders>
              <w:left w:val="nil"/>
            </w:tcBorders>
            <w:shd w:val="clear" w:color="auto" w:fill="F2F2F2" w:themeFill="background1" w:themeFillShade="F2"/>
          </w:tcPr>
          <w:p w14:paraId="6A6F3DB9" w14:textId="38D4F210" w:rsidR="00D565B2" w:rsidRPr="005A4A9A" w:rsidDel="003D309C" w:rsidRDefault="00D565B2" w:rsidP="00D565B2">
            <w:pPr>
              <w:rPr>
                <w:sz w:val="24"/>
                <w:szCs w:val="24"/>
              </w:rPr>
            </w:pPr>
            <w:r>
              <w:rPr>
                <w:sz w:val="24"/>
                <w:szCs w:val="24"/>
              </w:rPr>
              <w:t>preliminary1</w:t>
            </w:r>
          </w:p>
        </w:tc>
        <w:tc>
          <w:tcPr>
            <w:tcW w:w="1611" w:type="dxa"/>
            <w:shd w:val="clear" w:color="auto" w:fill="F2F2F2" w:themeFill="background1" w:themeFillShade="F2"/>
          </w:tcPr>
          <w:p w14:paraId="489FD06D" w14:textId="3AF7B309"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7D1D1583" w14:textId="77777777" w:rsidR="00D565B2" w:rsidRDefault="00D565B2" w:rsidP="00D565B2">
            <w:pPr>
              <w:ind w:left="144" w:hanging="144"/>
            </w:pPr>
            <w:r>
              <w:t>Is there a preliminary ruling system of national court referrals? (0,1,2)</w:t>
            </w:r>
          </w:p>
          <w:p w14:paraId="347C9EE7" w14:textId="77777777" w:rsidR="0028316B" w:rsidRDefault="0028316B" w:rsidP="00D565B2">
            <w:pPr>
              <w:ind w:left="144" w:hanging="144"/>
            </w:pPr>
            <w:r>
              <w:t>0: no preliminary ruling system</w:t>
            </w:r>
          </w:p>
          <w:p w14:paraId="079F73BE" w14:textId="77777777" w:rsidR="0028316B" w:rsidRDefault="0028316B" w:rsidP="00D565B2">
            <w:pPr>
              <w:ind w:left="144" w:hanging="144"/>
            </w:pPr>
            <w:r>
              <w:t>1: optional for national courts to ask for ruling</w:t>
            </w:r>
          </w:p>
          <w:p w14:paraId="7CD8908D" w14:textId="0802D3E3" w:rsidR="0028316B" w:rsidRPr="00483D33" w:rsidRDefault="0028316B" w:rsidP="00D565B2">
            <w:pPr>
              <w:ind w:left="144" w:hanging="144"/>
            </w:pPr>
            <w:r>
              <w:t>2: some national courts are required to ask for a ruling</w:t>
            </w:r>
          </w:p>
        </w:tc>
      </w:tr>
      <w:tr w:rsidR="00D565B2" w:rsidRPr="005A4A9A" w14:paraId="180A50FC" w14:textId="77777777" w:rsidTr="007C401F">
        <w:tc>
          <w:tcPr>
            <w:tcW w:w="2340" w:type="dxa"/>
            <w:tcBorders>
              <w:left w:val="nil"/>
            </w:tcBorders>
            <w:shd w:val="clear" w:color="auto" w:fill="F2F2F2" w:themeFill="background1" w:themeFillShade="F2"/>
          </w:tcPr>
          <w:p w14:paraId="61CA7CDC" w14:textId="6365DC3F" w:rsidR="00D565B2" w:rsidRPr="005A4A9A" w:rsidRDefault="00D565B2" w:rsidP="00D565B2">
            <w:pPr>
              <w:rPr>
                <w:sz w:val="24"/>
                <w:szCs w:val="24"/>
              </w:rPr>
            </w:pPr>
            <w:r>
              <w:rPr>
                <w:sz w:val="24"/>
                <w:szCs w:val="24"/>
              </w:rPr>
              <w:t>DS_sum1</w:t>
            </w:r>
          </w:p>
        </w:tc>
        <w:tc>
          <w:tcPr>
            <w:tcW w:w="1611" w:type="dxa"/>
            <w:shd w:val="clear" w:color="auto" w:fill="F2F2F2" w:themeFill="background1" w:themeFillShade="F2"/>
          </w:tcPr>
          <w:p w14:paraId="3024F2AB" w14:textId="27B0AAB2"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4CBA0979" w14:textId="62159B47" w:rsidR="00D565B2" w:rsidRPr="00483D33" w:rsidRDefault="00D565B2" w:rsidP="00D565B2">
            <w:pPr>
              <w:ind w:left="144" w:hanging="144"/>
            </w:pPr>
            <w:r>
              <w:t>Dispute settlement 1 (7 components)/7</w:t>
            </w:r>
          </w:p>
        </w:tc>
      </w:tr>
      <w:tr w:rsidR="00D565B2" w:rsidRPr="005A4A9A" w14:paraId="136035A9" w14:textId="77777777" w:rsidTr="0028316B">
        <w:tc>
          <w:tcPr>
            <w:tcW w:w="2340" w:type="dxa"/>
            <w:tcBorders>
              <w:left w:val="nil"/>
            </w:tcBorders>
            <w:shd w:val="clear" w:color="auto" w:fill="D9D9D9" w:themeFill="background1" w:themeFillShade="D9"/>
          </w:tcPr>
          <w:p w14:paraId="5ED187D8" w14:textId="122EAD09" w:rsidR="00D565B2" w:rsidRPr="005A4A9A" w:rsidRDefault="0028316B" w:rsidP="00D565B2">
            <w:pPr>
              <w:rPr>
                <w:sz w:val="24"/>
                <w:szCs w:val="24"/>
              </w:rPr>
            </w:pPr>
            <w:r>
              <w:rPr>
                <w:sz w:val="24"/>
                <w:szCs w:val="24"/>
              </w:rPr>
              <w:t>c</w:t>
            </w:r>
            <w:r w:rsidR="00D565B2">
              <w:rPr>
                <w:sz w:val="24"/>
                <w:szCs w:val="24"/>
              </w:rPr>
              <w:t>overage</w:t>
            </w:r>
            <w:r>
              <w:rPr>
                <w:sz w:val="24"/>
                <w:szCs w:val="24"/>
              </w:rPr>
              <w:t>2</w:t>
            </w:r>
          </w:p>
        </w:tc>
        <w:tc>
          <w:tcPr>
            <w:tcW w:w="1611" w:type="dxa"/>
            <w:shd w:val="clear" w:color="auto" w:fill="D9D9D9" w:themeFill="background1" w:themeFillShade="D9"/>
          </w:tcPr>
          <w:p w14:paraId="2755616E" w14:textId="329A3E23"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D9D9D9" w:themeFill="background1" w:themeFillShade="D9"/>
          </w:tcPr>
          <w:p w14:paraId="624E8899" w14:textId="77777777" w:rsidR="00D565B2" w:rsidRDefault="00D565B2" w:rsidP="00D565B2">
            <w:r>
              <w:t>Is the dispute settlement obligatory to all? (0,1,2)</w:t>
            </w:r>
          </w:p>
          <w:p w14:paraId="79DB4526" w14:textId="77777777" w:rsidR="00D565B2" w:rsidRDefault="00D565B2" w:rsidP="00D565B2">
            <w:r>
              <w:t>0: no dispute settlement</w:t>
            </w:r>
          </w:p>
          <w:p w14:paraId="6BF8AE66" w14:textId="77777777" w:rsidR="00D565B2" w:rsidRDefault="00D565B2" w:rsidP="00D565B2">
            <w:r>
              <w:t>1: not obligatory – Members can opt out</w:t>
            </w:r>
          </w:p>
          <w:p w14:paraId="17FB00F3" w14:textId="3E4778F7" w:rsidR="00D565B2" w:rsidRPr="00483D33" w:rsidRDefault="00D565B2" w:rsidP="00D565B2">
            <w:pPr>
              <w:ind w:left="144" w:hanging="144"/>
            </w:pPr>
            <w:r>
              <w:t>2: obligatory – Members cannot opt out</w:t>
            </w:r>
          </w:p>
        </w:tc>
      </w:tr>
      <w:tr w:rsidR="00D565B2" w:rsidRPr="005A4A9A" w14:paraId="4888F11B" w14:textId="77777777" w:rsidTr="0028316B">
        <w:tc>
          <w:tcPr>
            <w:tcW w:w="2340" w:type="dxa"/>
            <w:tcBorders>
              <w:left w:val="nil"/>
            </w:tcBorders>
            <w:shd w:val="clear" w:color="auto" w:fill="D9D9D9" w:themeFill="background1" w:themeFillShade="D9"/>
          </w:tcPr>
          <w:p w14:paraId="6CF73D87" w14:textId="54FD3B76" w:rsidR="00D565B2" w:rsidRPr="005A4A9A" w:rsidRDefault="0028316B" w:rsidP="00D565B2">
            <w:pPr>
              <w:rPr>
                <w:sz w:val="24"/>
                <w:szCs w:val="24"/>
              </w:rPr>
            </w:pPr>
            <w:r>
              <w:rPr>
                <w:sz w:val="24"/>
                <w:szCs w:val="24"/>
              </w:rPr>
              <w:t>t</w:t>
            </w:r>
            <w:r w:rsidR="00D565B2">
              <w:rPr>
                <w:sz w:val="24"/>
                <w:szCs w:val="24"/>
              </w:rPr>
              <w:t>hirdparty</w:t>
            </w:r>
            <w:r>
              <w:rPr>
                <w:sz w:val="24"/>
                <w:szCs w:val="24"/>
              </w:rPr>
              <w:t>2</w:t>
            </w:r>
          </w:p>
        </w:tc>
        <w:tc>
          <w:tcPr>
            <w:tcW w:w="1611" w:type="dxa"/>
            <w:shd w:val="clear" w:color="auto" w:fill="D9D9D9" w:themeFill="background1" w:themeFillShade="D9"/>
          </w:tcPr>
          <w:p w14:paraId="64005987" w14:textId="121152C1"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D9D9D9" w:themeFill="background1" w:themeFillShade="D9"/>
          </w:tcPr>
          <w:p w14:paraId="3DA060BF" w14:textId="77777777" w:rsidR="00D565B2" w:rsidRDefault="00D565B2" w:rsidP="00D565B2">
            <w:pPr>
              <w:keepNext/>
            </w:pPr>
            <w:r>
              <w:t>Is there an explict right to third party review? (0,1,2)</w:t>
            </w:r>
          </w:p>
          <w:p w14:paraId="54CC9BFC" w14:textId="5A523F4A" w:rsidR="00D565B2" w:rsidRPr="00483D33" w:rsidRDefault="00D565B2" w:rsidP="00D565B2">
            <w:pPr>
              <w:ind w:left="144" w:hanging="144"/>
            </w:pPr>
          </w:p>
        </w:tc>
      </w:tr>
      <w:tr w:rsidR="00D565B2" w:rsidRPr="005A4A9A" w14:paraId="7ECCEEA5" w14:textId="77777777" w:rsidTr="0028316B">
        <w:tc>
          <w:tcPr>
            <w:tcW w:w="2340" w:type="dxa"/>
            <w:tcBorders>
              <w:left w:val="nil"/>
            </w:tcBorders>
            <w:shd w:val="clear" w:color="auto" w:fill="D9D9D9" w:themeFill="background1" w:themeFillShade="D9"/>
          </w:tcPr>
          <w:p w14:paraId="48967B7D" w14:textId="34BFEAAC" w:rsidR="00D565B2" w:rsidRPr="005A4A9A" w:rsidRDefault="0028316B" w:rsidP="00D565B2">
            <w:pPr>
              <w:rPr>
                <w:sz w:val="24"/>
                <w:szCs w:val="24"/>
              </w:rPr>
            </w:pPr>
            <w:r>
              <w:rPr>
                <w:sz w:val="24"/>
                <w:szCs w:val="24"/>
              </w:rPr>
              <w:t>t</w:t>
            </w:r>
            <w:r w:rsidR="00D565B2">
              <w:rPr>
                <w:sz w:val="24"/>
                <w:szCs w:val="24"/>
              </w:rPr>
              <w:t>ribunal</w:t>
            </w:r>
            <w:r>
              <w:rPr>
                <w:sz w:val="24"/>
                <w:szCs w:val="24"/>
              </w:rPr>
              <w:t>2</w:t>
            </w:r>
          </w:p>
        </w:tc>
        <w:tc>
          <w:tcPr>
            <w:tcW w:w="1611" w:type="dxa"/>
            <w:shd w:val="clear" w:color="auto" w:fill="D9D9D9" w:themeFill="background1" w:themeFillShade="D9"/>
          </w:tcPr>
          <w:p w14:paraId="500C4CB7" w14:textId="0CF02056"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D9D9D9" w:themeFill="background1" w:themeFillShade="D9"/>
          </w:tcPr>
          <w:p w14:paraId="312BF7C4" w14:textId="73154B9F" w:rsidR="00D565B2" w:rsidRPr="00483D33" w:rsidRDefault="00D565B2" w:rsidP="00D565B2">
            <w:pPr>
              <w:ind w:left="144" w:hanging="144"/>
            </w:pPr>
            <w:r>
              <w:t>How is the tribunal composed? (0,1,2)</w:t>
            </w:r>
          </w:p>
        </w:tc>
      </w:tr>
      <w:tr w:rsidR="00D565B2" w:rsidRPr="005A4A9A" w14:paraId="6DCF44B7" w14:textId="77777777" w:rsidTr="0028316B">
        <w:tc>
          <w:tcPr>
            <w:tcW w:w="2340" w:type="dxa"/>
            <w:tcBorders>
              <w:left w:val="nil"/>
            </w:tcBorders>
            <w:shd w:val="clear" w:color="auto" w:fill="D9D9D9" w:themeFill="background1" w:themeFillShade="D9"/>
          </w:tcPr>
          <w:p w14:paraId="16EC24FB" w14:textId="640A3F0E" w:rsidR="00D565B2" w:rsidRPr="005A4A9A" w:rsidRDefault="0028316B" w:rsidP="00D565B2">
            <w:pPr>
              <w:keepNext/>
              <w:rPr>
                <w:sz w:val="24"/>
                <w:szCs w:val="24"/>
              </w:rPr>
            </w:pPr>
            <w:r>
              <w:rPr>
                <w:sz w:val="24"/>
                <w:szCs w:val="24"/>
              </w:rPr>
              <w:t>b</w:t>
            </w:r>
            <w:r w:rsidR="00D565B2">
              <w:rPr>
                <w:sz w:val="24"/>
                <w:szCs w:val="24"/>
              </w:rPr>
              <w:t>inding</w:t>
            </w:r>
            <w:r>
              <w:rPr>
                <w:sz w:val="24"/>
                <w:szCs w:val="24"/>
              </w:rPr>
              <w:t>2</w:t>
            </w:r>
          </w:p>
        </w:tc>
        <w:tc>
          <w:tcPr>
            <w:tcW w:w="1611" w:type="dxa"/>
            <w:shd w:val="clear" w:color="auto" w:fill="D9D9D9" w:themeFill="background1" w:themeFillShade="D9"/>
          </w:tcPr>
          <w:p w14:paraId="7C538088" w14:textId="74E7C2E9" w:rsidR="00D565B2" w:rsidRPr="005A4A9A" w:rsidRDefault="00D565B2" w:rsidP="00D565B2">
            <w:pPr>
              <w:keepNext/>
              <w:jc w:val="center"/>
              <w:rPr>
                <w:sz w:val="24"/>
                <w:szCs w:val="24"/>
              </w:rPr>
            </w:pPr>
            <w:r>
              <w:rPr>
                <w:sz w:val="24"/>
                <w:szCs w:val="24"/>
              </w:rPr>
              <w:t>0-1</w:t>
            </w:r>
          </w:p>
        </w:tc>
        <w:tc>
          <w:tcPr>
            <w:tcW w:w="6147" w:type="dxa"/>
            <w:tcBorders>
              <w:right w:val="nil"/>
            </w:tcBorders>
            <w:shd w:val="clear" w:color="auto" w:fill="D9D9D9" w:themeFill="background1" w:themeFillShade="D9"/>
          </w:tcPr>
          <w:p w14:paraId="18A78613" w14:textId="7A2D55A2" w:rsidR="00D565B2" w:rsidRPr="00483D33" w:rsidRDefault="00D565B2" w:rsidP="00D565B2">
            <w:pPr>
              <w:keepNext/>
              <w:ind w:left="144" w:hanging="144"/>
            </w:pPr>
            <w:r>
              <w:t>Is adjudication binding? (0,1,2)</w:t>
            </w:r>
          </w:p>
        </w:tc>
      </w:tr>
      <w:tr w:rsidR="00D565B2" w:rsidRPr="005A4A9A" w14:paraId="1A9FF4D1" w14:textId="77777777" w:rsidTr="0028316B">
        <w:tc>
          <w:tcPr>
            <w:tcW w:w="2340" w:type="dxa"/>
            <w:tcBorders>
              <w:left w:val="nil"/>
            </w:tcBorders>
            <w:shd w:val="clear" w:color="auto" w:fill="D9D9D9" w:themeFill="background1" w:themeFillShade="D9"/>
          </w:tcPr>
          <w:p w14:paraId="438C1B10" w14:textId="48F86A27" w:rsidR="00D565B2" w:rsidRPr="005A4A9A" w:rsidRDefault="0028316B" w:rsidP="00D565B2">
            <w:pPr>
              <w:rPr>
                <w:sz w:val="24"/>
                <w:szCs w:val="24"/>
              </w:rPr>
            </w:pPr>
            <w:r>
              <w:rPr>
                <w:sz w:val="24"/>
                <w:szCs w:val="24"/>
              </w:rPr>
              <w:t>n</w:t>
            </w:r>
            <w:r w:rsidR="00D565B2">
              <w:rPr>
                <w:sz w:val="24"/>
                <w:szCs w:val="24"/>
              </w:rPr>
              <w:t>onstate</w:t>
            </w:r>
            <w:r>
              <w:rPr>
                <w:sz w:val="24"/>
                <w:szCs w:val="24"/>
              </w:rPr>
              <w:t>2</w:t>
            </w:r>
          </w:p>
        </w:tc>
        <w:tc>
          <w:tcPr>
            <w:tcW w:w="1611" w:type="dxa"/>
            <w:shd w:val="clear" w:color="auto" w:fill="D9D9D9" w:themeFill="background1" w:themeFillShade="D9"/>
          </w:tcPr>
          <w:p w14:paraId="70F714F1" w14:textId="4FFDF886"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D9D9D9" w:themeFill="background1" w:themeFillShade="D9"/>
          </w:tcPr>
          <w:p w14:paraId="0B280DA4" w14:textId="5D34028C" w:rsidR="00D565B2" w:rsidRPr="00483D33" w:rsidRDefault="00D565B2" w:rsidP="00D565B2">
            <w:pPr>
              <w:ind w:left="144" w:hanging="144"/>
            </w:pPr>
            <w:r>
              <w:t>Do non-state actors have legal standing? (0,1,2)</w:t>
            </w:r>
          </w:p>
        </w:tc>
      </w:tr>
      <w:tr w:rsidR="00D565B2" w:rsidRPr="005A4A9A" w14:paraId="569BD271" w14:textId="77777777" w:rsidTr="0028316B">
        <w:tc>
          <w:tcPr>
            <w:tcW w:w="2340" w:type="dxa"/>
            <w:tcBorders>
              <w:left w:val="nil"/>
            </w:tcBorders>
            <w:shd w:val="clear" w:color="auto" w:fill="D9D9D9" w:themeFill="background1" w:themeFillShade="D9"/>
          </w:tcPr>
          <w:p w14:paraId="057FBE29" w14:textId="7E29870D" w:rsidR="00D565B2" w:rsidRPr="005A4A9A" w:rsidRDefault="0028316B" w:rsidP="00D565B2">
            <w:pPr>
              <w:rPr>
                <w:sz w:val="24"/>
                <w:szCs w:val="24"/>
              </w:rPr>
            </w:pPr>
            <w:r>
              <w:rPr>
                <w:sz w:val="24"/>
                <w:szCs w:val="24"/>
              </w:rPr>
              <w:t>r</w:t>
            </w:r>
            <w:r w:rsidR="00D565B2">
              <w:rPr>
                <w:sz w:val="24"/>
                <w:szCs w:val="24"/>
              </w:rPr>
              <w:t>emedy</w:t>
            </w:r>
            <w:r>
              <w:rPr>
                <w:sz w:val="24"/>
                <w:szCs w:val="24"/>
              </w:rPr>
              <w:t>2</w:t>
            </w:r>
          </w:p>
        </w:tc>
        <w:tc>
          <w:tcPr>
            <w:tcW w:w="1611" w:type="dxa"/>
            <w:shd w:val="clear" w:color="auto" w:fill="D9D9D9" w:themeFill="background1" w:themeFillShade="D9"/>
          </w:tcPr>
          <w:p w14:paraId="10AEE245" w14:textId="0E24F019"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D9D9D9" w:themeFill="background1" w:themeFillShade="D9"/>
          </w:tcPr>
          <w:p w14:paraId="2F1F1600" w14:textId="3A1BA974" w:rsidR="00D565B2" w:rsidRPr="00483D33" w:rsidRDefault="00D565B2" w:rsidP="00D565B2">
            <w:pPr>
              <w:ind w:left="144" w:hanging="144"/>
            </w:pPr>
            <w:r>
              <w:t>Is there remedy for non-compliance to the ruling? (0,1,2)</w:t>
            </w:r>
          </w:p>
        </w:tc>
      </w:tr>
      <w:tr w:rsidR="00D565B2" w:rsidRPr="005A4A9A" w14:paraId="1946C120" w14:textId="77777777" w:rsidTr="0028316B">
        <w:tc>
          <w:tcPr>
            <w:tcW w:w="2340" w:type="dxa"/>
            <w:tcBorders>
              <w:left w:val="nil"/>
            </w:tcBorders>
            <w:shd w:val="clear" w:color="auto" w:fill="D9D9D9" w:themeFill="background1" w:themeFillShade="D9"/>
          </w:tcPr>
          <w:p w14:paraId="32E52E17" w14:textId="17014829" w:rsidR="00D565B2" w:rsidRPr="005A4A9A" w:rsidRDefault="0028316B" w:rsidP="00D565B2">
            <w:pPr>
              <w:rPr>
                <w:sz w:val="24"/>
                <w:szCs w:val="24"/>
              </w:rPr>
            </w:pPr>
            <w:r>
              <w:rPr>
                <w:sz w:val="24"/>
                <w:szCs w:val="24"/>
              </w:rPr>
              <w:t>p</w:t>
            </w:r>
            <w:r w:rsidR="00D565B2">
              <w:rPr>
                <w:sz w:val="24"/>
                <w:szCs w:val="24"/>
              </w:rPr>
              <w:t>reliminary</w:t>
            </w:r>
            <w:r>
              <w:rPr>
                <w:sz w:val="24"/>
                <w:szCs w:val="24"/>
              </w:rPr>
              <w:t>2</w:t>
            </w:r>
          </w:p>
        </w:tc>
        <w:tc>
          <w:tcPr>
            <w:tcW w:w="1611" w:type="dxa"/>
            <w:shd w:val="clear" w:color="auto" w:fill="D9D9D9" w:themeFill="background1" w:themeFillShade="D9"/>
          </w:tcPr>
          <w:p w14:paraId="1D25F78F" w14:textId="1189D018"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D9D9D9" w:themeFill="background1" w:themeFillShade="D9"/>
          </w:tcPr>
          <w:p w14:paraId="6C83D9C8" w14:textId="6F00F30C" w:rsidR="00D565B2" w:rsidRPr="00483D33" w:rsidRDefault="00D565B2" w:rsidP="00D565B2">
            <w:pPr>
              <w:ind w:left="144" w:hanging="144"/>
            </w:pPr>
            <w:r>
              <w:t>Is there a preliminary ruling system of national court referrals? (0,1,2)</w:t>
            </w:r>
          </w:p>
        </w:tc>
      </w:tr>
      <w:tr w:rsidR="00D565B2" w:rsidRPr="005A4A9A" w14:paraId="641EEF26" w14:textId="77777777" w:rsidTr="0028316B">
        <w:trPr>
          <w:trHeight w:val="467"/>
        </w:trPr>
        <w:tc>
          <w:tcPr>
            <w:tcW w:w="2340" w:type="dxa"/>
            <w:tcBorders>
              <w:left w:val="nil"/>
            </w:tcBorders>
            <w:shd w:val="clear" w:color="auto" w:fill="D9D9D9" w:themeFill="background1" w:themeFillShade="D9"/>
          </w:tcPr>
          <w:p w14:paraId="4A6B98A7" w14:textId="5D0812F3" w:rsidR="00D565B2" w:rsidRPr="005A4A9A" w:rsidRDefault="00D565B2" w:rsidP="009D3937">
            <w:pPr>
              <w:rPr>
                <w:sz w:val="24"/>
                <w:szCs w:val="24"/>
              </w:rPr>
            </w:pPr>
            <w:r>
              <w:rPr>
                <w:sz w:val="24"/>
                <w:szCs w:val="24"/>
              </w:rPr>
              <w:t>DS_sum</w:t>
            </w:r>
            <w:r w:rsidR="0028316B">
              <w:rPr>
                <w:sz w:val="24"/>
                <w:szCs w:val="24"/>
              </w:rPr>
              <w:t>2</w:t>
            </w:r>
          </w:p>
        </w:tc>
        <w:tc>
          <w:tcPr>
            <w:tcW w:w="1611" w:type="dxa"/>
            <w:shd w:val="clear" w:color="auto" w:fill="D9D9D9" w:themeFill="background1" w:themeFillShade="D9"/>
          </w:tcPr>
          <w:p w14:paraId="1CCC2912" w14:textId="454482DC" w:rsidR="00D565B2" w:rsidRPr="005A4A9A" w:rsidRDefault="00D565B2" w:rsidP="009D3937">
            <w:pPr>
              <w:jc w:val="center"/>
              <w:rPr>
                <w:sz w:val="24"/>
                <w:szCs w:val="24"/>
              </w:rPr>
            </w:pPr>
            <w:r>
              <w:rPr>
                <w:sz w:val="24"/>
                <w:szCs w:val="24"/>
              </w:rPr>
              <w:t>0-1</w:t>
            </w:r>
          </w:p>
        </w:tc>
        <w:tc>
          <w:tcPr>
            <w:tcW w:w="6147" w:type="dxa"/>
            <w:tcBorders>
              <w:right w:val="nil"/>
            </w:tcBorders>
            <w:shd w:val="clear" w:color="auto" w:fill="D9D9D9" w:themeFill="background1" w:themeFillShade="D9"/>
          </w:tcPr>
          <w:p w14:paraId="12F1DFAF" w14:textId="705D064A" w:rsidR="00D565B2" w:rsidRPr="00483D33" w:rsidRDefault="00D565B2" w:rsidP="009D3937">
            <w:pPr>
              <w:ind w:left="144" w:hanging="144"/>
            </w:pPr>
            <w:r>
              <w:t>Dispute settlement 1 (7 components)/7</w:t>
            </w:r>
          </w:p>
        </w:tc>
      </w:tr>
      <w:tr w:rsidR="00D565B2" w:rsidRPr="005A4A9A" w14:paraId="64A67454" w14:textId="77777777" w:rsidTr="00606273">
        <w:tc>
          <w:tcPr>
            <w:tcW w:w="2340" w:type="dxa"/>
            <w:tcBorders>
              <w:left w:val="nil"/>
            </w:tcBorders>
            <w:shd w:val="clear" w:color="auto" w:fill="F2F2F2" w:themeFill="background1" w:themeFillShade="F2"/>
          </w:tcPr>
          <w:p w14:paraId="071C737C" w14:textId="76A03484" w:rsidR="00D565B2" w:rsidRPr="005A4A9A" w:rsidRDefault="0028316B" w:rsidP="00D565B2">
            <w:pPr>
              <w:keepNext/>
              <w:rPr>
                <w:sz w:val="24"/>
                <w:szCs w:val="24"/>
              </w:rPr>
            </w:pPr>
            <w:r>
              <w:rPr>
                <w:sz w:val="24"/>
                <w:szCs w:val="24"/>
              </w:rPr>
              <w:lastRenderedPageBreak/>
              <w:t>c</w:t>
            </w:r>
            <w:r w:rsidR="00D565B2">
              <w:rPr>
                <w:sz w:val="24"/>
                <w:szCs w:val="24"/>
              </w:rPr>
              <w:t>overage</w:t>
            </w:r>
            <w:r>
              <w:rPr>
                <w:sz w:val="24"/>
                <w:szCs w:val="24"/>
              </w:rPr>
              <w:t>3</w:t>
            </w:r>
          </w:p>
        </w:tc>
        <w:tc>
          <w:tcPr>
            <w:tcW w:w="1611" w:type="dxa"/>
            <w:shd w:val="clear" w:color="auto" w:fill="F2F2F2" w:themeFill="background1" w:themeFillShade="F2"/>
          </w:tcPr>
          <w:p w14:paraId="6987233A" w14:textId="21B5EE2D"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5B7EFF80" w14:textId="77777777" w:rsidR="00D565B2" w:rsidRDefault="00D565B2" w:rsidP="00D565B2">
            <w:r>
              <w:t>Is the dispute settlement obligatory to all? (0,1,2)</w:t>
            </w:r>
          </w:p>
          <w:p w14:paraId="321CB275" w14:textId="77777777" w:rsidR="00D565B2" w:rsidRDefault="00D565B2" w:rsidP="00D565B2">
            <w:r>
              <w:t>0: no dispute settlement</w:t>
            </w:r>
          </w:p>
          <w:p w14:paraId="11F70DFF" w14:textId="77777777" w:rsidR="00D565B2" w:rsidRDefault="00D565B2" w:rsidP="00D565B2">
            <w:r>
              <w:t>1: not obligatory – Members can opt out</w:t>
            </w:r>
          </w:p>
          <w:p w14:paraId="005F5758" w14:textId="4DE09ACB" w:rsidR="00D565B2" w:rsidRPr="00483D33" w:rsidRDefault="00D565B2" w:rsidP="00D565B2">
            <w:pPr>
              <w:ind w:left="144" w:hanging="144"/>
            </w:pPr>
            <w:r>
              <w:t>2: obligatory – Members cannot opt out</w:t>
            </w:r>
          </w:p>
        </w:tc>
      </w:tr>
      <w:tr w:rsidR="00D565B2" w:rsidRPr="005A4A9A" w14:paraId="365F3FF6" w14:textId="77777777" w:rsidTr="00606273">
        <w:tc>
          <w:tcPr>
            <w:tcW w:w="2340" w:type="dxa"/>
            <w:tcBorders>
              <w:left w:val="nil"/>
            </w:tcBorders>
            <w:shd w:val="clear" w:color="auto" w:fill="F2F2F2" w:themeFill="background1" w:themeFillShade="F2"/>
          </w:tcPr>
          <w:p w14:paraId="60C99E8B" w14:textId="4A562269" w:rsidR="00D565B2" w:rsidRPr="005A4A9A" w:rsidRDefault="0028316B" w:rsidP="00D565B2">
            <w:pPr>
              <w:keepNext/>
              <w:rPr>
                <w:sz w:val="24"/>
                <w:szCs w:val="24"/>
              </w:rPr>
            </w:pPr>
            <w:r>
              <w:rPr>
                <w:sz w:val="24"/>
                <w:szCs w:val="24"/>
              </w:rPr>
              <w:t>t</w:t>
            </w:r>
            <w:r w:rsidR="00D565B2">
              <w:rPr>
                <w:sz w:val="24"/>
                <w:szCs w:val="24"/>
              </w:rPr>
              <w:t>hirdparty</w:t>
            </w:r>
            <w:r>
              <w:rPr>
                <w:sz w:val="24"/>
                <w:szCs w:val="24"/>
              </w:rPr>
              <w:t>3</w:t>
            </w:r>
          </w:p>
        </w:tc>
        <w:tc>
          <w:tcPr>
            <w:tcW w:w="1611" w:type="dxa"/>
            <w:shd w:val="clear" w:color="auto" w:fill="F2F2F2" w:themeFill="background1" w:themeFillShade="F2"/>
          </w:tcPr>
          <w:p w14:paraId="31D43588" w14:textId="46BC1DC8"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39CF4CA9" w14:textId="77777777" w:rsidR="00D565B2" w:rsidRDefault="00D565B2" w:rsidP="00D565B2">
            <w:pPr>
              <w:keepNext/>
            </w:pPr>
            <w:r>
              <w:t>Is there an explict right to third party review? (0,1,2)</w:t>
            </w:r>
          </w:p>
          <w:p w14:paraId="35165FA0" w14:textId="77777777" w:rsidR="00D565B2" w:rsidRPr="00483D33" w:rsidRDefault="00D565B2" w:rsidP="00D565B2">
            <w:pPr>
              <w:ind w:left="144" w:hanging="144"/>
            </w:pPr>
          </w:p>
        </w:tc>
      </w:tr>
      <w:tr w:rsidR="00D565B2" w:rsidRPr="005A4A9A" w14:paraId="57A79C87" w14:textId="77777777" w:rsidTr="00606273">
        <w:tc>
          <w:tcPr>
            <w:tcW w:w="2340" w:type="dxa"/>
            <w:tcBorders>
              <w:left w:val="nil"/>
            </w:tcBorders>
            <w:shd w:val="clear" w:color="auto" w:fill="F2F2F2" w:themeFill="background1" w:themeFillShade="F2"/>
          </w:tcPr>
          <w:p w14:paraId="688FFADC" w14:textId="039BBD2C" w:rsidR="00D565B2" w:rsidRPr="005A4A9A" w:rsidRDefault="0028316B" w:rsidP="00D565B2">
            <w:pPr>
              <w:keepNext/>
              <w:rPr>
                <w:sz w:val="24"/>
                <w:szCs w:val="24"/>
              </w:rPr>
            </w:pPr>
            <w:r>
              <w:rPr>
                <w:sz w:val="24"/>
                <w:szCs w:val="24"/>
              </w:rPr>
              <w:t>t</w:t>
            </w:r>
            <w:r w:rsidR="00D565B2">
              <w:rPr>
                <w:sz w:val="24"/>
                <w:szCs w:val="24"/>
              </w:rPr>
              <w:t>ribunal</w:t>
            </w:r>
            <w:r>
              <w:rPr>
                <w:sz w:val="24"/>
                <w:szCs w:val="24"/>
              </w:rPr>
              <w:t>3</w:t>
            </w:r>
          </w:p>
        </w:tc>
        <w:tc>
          <w:tcPr>
            <w:tcW w:w="1611" w:type="dxa"/>
            <w:shd w:val="clear" w:color="auto" w:fill="F2F2F2" w:themeFill="background1" w:themeFillShade="F2"/>
          </w:tcPr>
          <w:p w14:paraId="7697C447" w14:textId="447B403D"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3751C963" w14:textId="475C34EF" w:rsidR="00D565B2" w:rsidRPr="00483D33" w:rsidRDefault="00D565B2" w:rsidP="00D565B2">
            <w:pPr>
              <w:ind w:left="144" w:hanging="144"/>
            </w:pPr>
            <w:r>
              <w:t>How is the tribunal composed? (0,1,2)</w:t>
            </w:r>
          </w:p>
        </w:tc>
      </w:tr>
      <w:tr w:rsidR="00D565B2" w:rsidRPr="005A4A9A" w14:paraId="172D3953" w14:textId="77777777" w:rsidTr="00606273">
        <w:tc>
          <w:tcPr>
            <w:tcW w:w="2340" w:type="dxa"/>
            <w:tcBorders>
              <w:left w:val="nil"/>
            </w:tcBorders>
            <w:shd w:val="clear" w:color="auto" w:fill="F2F2F2" w:themeFill="background1" w:themeFillShade="F2"/>
          </w:tcPr>
          <w:p w14:paraId="542CBE69" w14:textId="23520AAD" w:rsidR="00D565B2" w:rsidRPr="005A4A9A" w:rsidRDefault="0028316B" w:rsidP="00D565B2">
            <w:pPr>
              <w:keepNext/>
              <w:rPr>
                <w:sz w:val="24"/>
                <w:szCs w:val="24"/>
              </w:rPr>
            </w:pPr>
            <w:r>
              <w:rPr>
                <w:sz w:val="24"/>
                <w:szCs w:val="24"/>
              </w:rPr>
              <w:t>b</w:t>
            </w:r>
            <w:r w:rsidR="00D565B2">
              <w:rPr>
                <w:sz w:val="24"/>
                <w:szCs w:val="24"/>
              </w:rPr>
              <w:t>inding</w:t>
            </w:r>
            <w:r>
              <w:rPr>
                <w:sz w:val="24"/>
                <w:szCs w:val="24"/>
              </w:rPr>
              <w:t>3</w:t>
            </w:r>
          </w:p>
        </w:tc>
        <w:tc>
          <w:tcPr>
            <w:tcW w:w="1611" w:type="dxa"/>
            <w:shd w:val="clear" w:color="auto" w:fill="F2F2F2" w:themeFill="background1" w:themeFillShade="F2"/>
          </w:tcPr>
          <w:p w14:paraId="5391940A" w14:textId="19BF2E1B"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12E931EE" w14:textId="56588910" w:rsidR="00D565B2" w:rsidRPr="00483D33" w:rsidRDefault="00D565B2" w:rsidP="00D565B2">
            <w:pPr>
              <w:ind w:left="144" w:hanging="144"/>
            </w:pPr>
            <w:r>
              <w:t>Is adjudication binding? (0,1,2)</w:t>
            </w:r>
          </w:p>
        </w:tc>
      </w:tr>
      <w:tr w:rsidR="00D565B2" w:rsidRPr="005A4A9A" w14:paraId="14DFA48B" w14:textId="77777777" w:rsidTr="00606273">
        <w:tc>
          <w:tcPr>
            <w:tcW w:w="2340" w:type="dxa"/>
            <w:tcBorders>
              <w:left w:val="nil"/>
            </w:tcBorders>
            <w:shd w:val="clear" w:color="auto" w:fill="F2F2F2" w:themeFill="background1" w:themeFillShade="F2"/>
          </w:tcPr>
          <w:p w14:paraId="338F94F7" w14:textId="7992DA74" w:rsidR="00D565B2" w:rsidRPr="005A4A9A" w:rsidRDefault="0028316B" w:rsidP="00D565B2">
            <w:pPr>
              <w:keepNext/>
              <w:rPr>
                <w:sz w:val="24"/>
                <w:szCs w:val="24"/>
              </w:rPr>
            </w:pPr>
            <w:r>
              <w:rPr>
                <w:sz w:val="24"/>
                <w:szCs w:val="24"/>
              </w:rPr>
              <w:t>n</w:t>
            </w:r>
            <w:r w:rsidR="00D565B2">
              <w:rPr>
                <w:sz w:val="24"/>
                <w:szCs w:val="24"/>
              </w:rPr>
              <w:t>onstate</w:t>
            </w:r>
            <w:r>
              <w:rPr>
                <w:sz w:val="24"/>
                <w:szCs w:val="24"/>
              </w:rPr>
              <w:t>3</w:t>
            </w:r>
          </w:p>
        </w:tc>
        <w:tc>
          <w:tcPr>
            <w:tcW w:w="1611" w:type="dxa"/>
            <w:shd w:val="clear" w:color="auto" w:fill="F2F2F2" w:themeFill="background1" w:themeFillShade="F2"/>
          </w:tcPr>
          <w:p w14:paraId="2652A2EC" w14:textId="16F3BB54"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4B40ED62" w14:textId="1F66438F" w:rsidR="00D565B2" w:rsidRPr="00483D33" w:rsidRDefault="00D565B2" w:rsidP="00D565B2">
            <w:pPr>
              <w:ind w:left="144" w:hanging="144"/>
            </w:pPr>
            <w:r>
              <w:t>Do non-state actors have legal standing? (0,1,2)</w:t>
            </w:r>
          </w:p>
        </w:tc>
      </w:tr>
      <w:tr w:rsidR="00D565B2" w:rsidRPr="005A4A9A" w14:paraId="7D7AF248" w14:textId="77777777" w:rsidTr="00606273">
        <w:tc>
          <w:tcPr>
            <w:tcW w:w="2340" w:type="dxa"/>
            <w:tcBorders>
              <w:left w:val="nil"/>
            </w:tcBorders>
            <w:shd w:val="clear" w:color="auto" w:fill="F2F2F2" w:themeFill="background1" w:themeFillShade="F2"/>
          </w:tcPr>
          <w:p w14:paraId="62B8171A" w14:textId="7E81339B" w:rsidR="00D565B2" w:rsidRPr="005A4A9A" w:rsidRDefault="0028316B" w:rsidP="00D565B2">
            <w:pPr>
              <w:keepNext/>
              <w:rPr>
                <w:sz w:val="24"/>
                <w:szCs w:val="24"/>
              </w:rPr>
            </w:pPr>
            <w:r>
              <w:rPr>
                <w:sz w:val="24"/>
                <w:szCs w:val="24"/>
              </w:rPr>
              <w:t>r</w:t>
            </w:r>
            <w:r w:rsidR="00D565B2">
              <w:rPr>
                <w:sz w:val="24"/>
                <w:szCs w:val="24"/>
              </w:rPr>
              <w:t>emedy</w:t>
            </w:r>
            <w:r>
              <w:rPr>
                <w:sz w:val="24"/>
                <w:szCs w:val="24"/>
              </w:rPr>
              <w:t>3</w:t>
            </w:r>
          </w:p>
        </w:tc>
        <w:tc>
          <w:tcPr>
            <w:tcW w:w="1611" w:type="dxa"/>
            <w:shd w:val="clear" w:color="auto" w:fill="F2F2F2" w:themeFill="background1" w:themeFillShade="F2"/>
          </w:tcPr>
          <w:p w14:paraId="4B5B1989" w14:textId="2D7524E3"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00EF757D" w14:textId="0214F528" w:rsidR="00D565B2" w:rsidRPr="00483D33" w:rsidRDefault="00D565B2" w:rsidP="00D565B2">
            <w:pPr>
              <w:ind w:left="144" w:hanging="144"/>
            </w:pPr>
            <w:r>
              <w:t>Is there remedy for non-compliance to the ruling? (0,1,2)</w:t>
            </w:r>
          </w:p>
        </w:tc>
      </w:tr>
      <w:tr w:rsidR="00D565B2" w:rsidRPr="005A4A9A" w14:paraId="6334EF06" w14:textId="77777777" w:rsidTr="00606273">
        <w:tc>
          <w:tcPr>
            <w:tcW w:w="2340" w:type="dxa"/>
            <w:tcBorders>
              <w:left w:val="nil"/>
            </w:tcBorders>
            <w:shd w:val="clear" w:color="auto" w:fill="F2F2F2" w:themeFill="background1" w:themeFillShade="F2"/>
          </w:tcPr>
          <w:p w14:paraId="11C975F3" w14:textId="1BBE27C0" w:rsidR="00D565B2" w:rsidRPr="005A4A9A" w:rsidRDefault="0028316B" w:rsidP="00D565B2">
            <w:pPr>
              <w:keepNext/>
              <w:rPr>
                <w:sz w:val="24"/>
                <w:szCs w:val="24"/>
              </w:rPr>
            </w:pPr>
            <w:r>
              <w:rPr>
                <w:sz w:val="24"/>
                <w:szCs w:val="24"/>
              </w:rPr>
              <w:t>p</w:t>
            </w:r>
            <w:r w:rsidR="00D565B2">
              <w:rPr>
                <w:sz w:val="24"/>
                <w:szCs w:val="24"/>
              </w:rPr>
              <w:t>reliminary</w:t>
            </w:r>
            <w:r>
              <w:rPr>
                <w:sz w:val="24"/>
                <w:szCs w:val="24"/>
              </w:rPr>
              <w:t>3</w:t>
            </w:r>
          </w:p>
        </w:tc>
        <w:tc>
          <w:tcPr>
            <w:tcW w:w="1611" w:type="dxa"/>
            <w:shd w:val="clear" w:color="auto" w:fill="F2F2F2" w:themeFill="background1" w:themeFillShade="F2"/>
          </w:tcPr>
          <w:p w14:paraId="78BEA964" w14:textId="1BD019F7"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3351C665" w14:textId="1980E5D6" w:rsidR="00D565B2" w:rsidRPr="00483D33" w:rsidRDefault="00D565B2" w:rsidP="00D565B2">
            <w:pPr>
              <w:ind w:left="144" w:hanging="144"/>
            </w:pPr>
            <w:r>
              <w:t>Is there a preliminary ruling system of national court referrals? (0,1,2)</w:t>
            </w:r>
          </w:p>
        </w:tc>
      </w:tr>
      <w:tr w:rsidR="00D565B2" w:rsidRPr="005A4A9A" w14:paraId="17619BA7" w14:textId="77777777" w:rsidTr="00606273">
        <w:tc>
          <w:tcPr>
            <w:tcW w:w="2340" w:type="dxa"/>
            <w:tcBorders>
              <w:left w:val="nil"/>
            </w:tcBorders>
            <w:shd w:val="clear" w:color="auto" w:fill="F2F2F2" w:themeFill="background1" w:themeFillShade="F2"/>
          </w:tcPr>
          <w:p w14:paraId="62141E97" w14:textId="02609474" w:rsidR="00D565B2" w:rsidRDefault="00D565B2" w:rsidP="00D565B2">
            <w:pPr>
              <w:keepNext/>
              <w:rPr>
                <w:sz w:val="24"/>
                <w:szCs w:val="24"/>
              </w:rPr>
            </w:pPr>
            <w:r>
              <w:rPr>
                <w:sz w:val="24"/>
                <w:szCs w:val="24"/>
              </w:rPr>
              <w:t>DS_sum</w:t>
            </w:r>
            <w:r w:rsidR="0028316B">
              <w:rPr>
                <w:sz w:val="24"/>
                <w:szCs w:val="24"/>
              </w:rPr>
              <w:t>3</w:t>
            </w:r>
          </w:p>
        </w:tc>
        <w:tc>
          <w:tcPr>
            <w:tcW w:w="1611" w:type="dxa"/>
            <w:shd w:val="clear" w:color="auto" w:fill="F2F2F2" w:themeFill="background1" w:themeFillShade="F2"/>
          </w:tcPr>
          <w:p w14:paraId="38E6615F" w14:textId="29547A18" w:rsidR="00D565B2" w:rsidRPr="005A4A9A" w:rsidRDefault="00D565B2" w:rsidP="00D565B2">
            <w:pPr>
              <w:jc w:val="center"/>
              <w:rPr>
                <w:sz w:val="24"/>
                <w:szCs w:val="24"/>
              </w:rPr>
            </w:pPr>
            <w:r>
              <w:rPr>
                <w:sz w:val="24"/>
                <w:szCs w:val="24"/>
              </w:rPr>
              <w:t>0-1</w:t>
            </w:r>
          </w:p>
        </w:tc>
        <w:tc>
          <w:tcPr>
            <w:tcW w:w="6147" w:type="dxa"/>
            <w:tcBorders>
              <w:right w:val="nil"/>
            </w:tcBorders>
            <w:shd w:val="clear" w:color="auto" w:fill="F2F2F2" w:themeFill="background1" w:themeFillShade="F2"/>
          </w:tcPr>
          <w:p w14:paraId="79323D2B" w14:textId="28DCC5FC" w:rsidR="00D565B2" w:rsidRDefault="00D565B2" w:rsidP="00D565B2">
            <w:pPr>
              <w:ind w:left="144" w:hanging="144"/>
            </w:pPr>
            <w:r>
              <w:t>Dispute settlement 1 (7 components)/7</w:t>
            </w:r>
          </w:p>
        </w:tc>
      </w:tr>
    </w:tbl>
    <w:p w14:paraId="00C2AD53" w14:textId="77777777" w:rsidR="00344D62" w:rsidRPr="005A4A9A" w:rsidRDefault="00344D62">
      <w:pPr>
        <w:rPr>
          <w:sz w:val="24"/>
          <w:szCs w:val="24"/>
        </w:rPr>
      </w:pPr>
    </w:p>
    <w:p w14:paraId="477FEB18" w14:textId="77777777" w:rsidR="00B61DB2" w:rsidRPr="005A4A9A" w:rsidRDefault="00B61DB2" w:rsidP="00B61DB2">
      <w:pPr>
        <w:rPr>
          <w:sz w:val="24"/>
          <w:szCs w:val="24"/>
        </w:rPr>
      </w:pPr>
    </w:p>
    <w:p w14:paraId="116ADC6D" w14:textId="77777777" w:rsidR="004306F9" w:rsidRPr="005A4A9A" w:rsidRDefault="004306F9">
      <w:pPr>
        <w:rPr>
          <w:sz w:val="24"/>
          <w:szCs w:val="24"/>
        </w:rPr>
      </w:pPr>
      <w:r w:rsidRPr="005A4A9A">
        <w:rPr>
          <w:sz w:val="24"/>
          <w:szCs w:val="24"/>
        </w:rPr>
        <w:br w:type="page"/>
      </w:r>
    </w:p>
    <w:p w14:paraId="4B970555" w14:textId="690ED15D" w:rsidR="004306F9" w:rsidRPr="009D3937" w:rsidRDefault="003B760B" w:rsidP="003B760B">
      <w:pPr>
        <w:pStyle w:val="Heading1"/>
        <w:rPr>
          <w:rFonts w:cstheme="majorHAnsi"/>
          <w:b/>
          <w:bCs/>
          <w:color w:val="538135" w:themeColor="accent6" w:themeShade="BF"/>
        </w:rPr>
      </w:pPr>
      <w:bookmarkStart w:id="15" w:name="_Toc73386192"/>
      <w:bookmarkStart w:id="16" w:name="_Hlk72657492"/>
      <w:r w:rsidRPr="009D3937">
        <w:rPr>
          <w:rFonts w:cstheme="majorHAnsi"/>
          <w:b/>
          <w:bCs/>
          <w:color w:val="538135" w:themeColor="accent6" w:themeShade="BF"/>
        </w:rPr>
        <w:lastRenderedPageBreak/>
        <w:t xml:space="preserve">Table 3: </w:t>
      </w:r>
      <w:r w:rsidR="00D23C49" w:rsidRPr="009D3937">
        <w:rPr>
          <w:rFonts w:cstheme="majorHAnsi"/>
          <w:b/>
          <w:bCs/>
          <w:color w:val="538135" w:themeColor="accent6" w:themeShade="BF"/>
        </w:rPr>
        <w:t>IO acronym</w:t>
      </w:r>
      <w:r w:rsidRPr="009D3937">
        <w:rPr>
          <w:rFonts w:cstheme="majorHAnsi"/>
          <w:b/>
          <w:bCs/>
          <w:color w:val="538135" w:themeColor="accent6" w:themeShade="BF"/>
        </w:rPr>
        <w:t xml:space="preserve">, </w:t>
      </w:r>
      <w:r w:rsidR="00D23C49" w:rsidRPr="009D3937">
        <w:rPr>
          <w:rFonts w:cstheme="majorHAnsi"/>
          <w:b/>
          <w:bCs/>
          <w:color w:val="538135" w:themeColor="accent6" w:themeShade="BF"/>
        </w:rPr>
        <w:t xml:space="preserve">COW </w:t>
      </w:r>
      <w:r w:rsidR="009D3937" w:rsidRPr="009D3937">
        <w:rPr>
          <w:rFonts w:cstheme="majorHAnsi"/>
          <w:b/>
          <w:bCs/>
          <w:color w:val="538135" w:themeColor="accent6" w:themeShade="BF"/>
        </w:rPr>
        <w:t>ID</w:t>
      </w:r>
      <w:r w:rsidRPr="009D3937">
        <w:rPr>
          <w:rFonts w:cstheme="majorHAnsi"/>
          <w:b/>
          <w:bCs/>
          <w:color w:val="538135" w:themeColor="accent6" w:themeShade="BF"/>
        </w:rPr>
        <w:t>, year-rows in dataset</w:t>
      </w:r>
      <w:bookmarkEnd w:id="15"/>
    </w:p>
    <w:bookmarkEnd w:id="16"/>
    <w:p w14:paraId="59B6AABA" w14:textId="4FC08826" w:rsidR="00433DEB" w:rsidRDefault="00433DEB" w:rsidP="00433DEB"/>
    <w:tbl>
      <w:tblPr>
        <w:tblStyle w:val="TableGrid"/>
        <w:tblW w:w="4495" w:type="dxa"/>
        <w:tblLook w:val="04A0" w:firstRow="1" w:lastRow="0" w:firstColumn="1" w:lastColumn="0" w:noHBand="0" w:noVBand="1"/>
      </w:tblPr>
      <w:tblGrid>
        <w:gridCol w:w="1180"/>
        <w:gridCol w:w="975"/>
        <w:gridCol w:w="2340"/>
      </w:tblGrid>
      <w:tr w:rsidR="00D23C49" w:rsidRPr="00433DEB" w14:paraId="694477B0" w14:textId="77777777" w:rsidTr="00D23C49">
        <w:tc>
          <w:tcPr>
            <w:tcW w:w="1180" w:type="dxa"/>
          </w:tcPr>
          <w:p w14:paraId="35F73E1F" w14:textId="77777777" w:rsidR="00D23C49" w:rsidRPr="00433DEB" w:rsidRDefault="00D23C49" w:rsidP="005C4A54">
            <w:r w:rsidRPr="00433DEB">
              <w:t>ALADI</w:t>
            </w:r>
          </w:p>
        </w:tc>
        <w:tc>
          <w:tcPr>
            <w:tcW w:w="975" w:type="dxa"/>
          </w:tcPr>
          <w:p w14:paraId="6916F451" w14:textId="77777777" w:rsidR="00D23C49" w:rsidRPr="00433DEB" w:rsidRDefault="00D23C49" w:rsidP="005C4A54">
            <w:r w:rsidRPr="00433DEB">
              <w:t>3430</w:t>
            </w:r>
          </w:p>
        </w:tc>
        <w:tc>
          <w:tcPr>
            <w:tcW w:w="2340" w:type="dxa"/>
          </w:tcPr>
          <w:p w14:paraId="30A7A516" w14:textId="65C5AFF1" w:rsidR="00D23C49" w:rsidRPr="00433DEB" w:rsidRDefault="00D23C49" w:rsidP="00433DEB">
            <w:r w:rsidRPr="00433DEB">
              <w:t>1961</w:t>
            </w:r>
            <w:r>
              <w:t>—2019</w:t>
            </w:r>
          </w:p>
        </w:tc>
      </w:tr>
      <w:tr w:rsidR="00D23C49" w:rsidRPr="00433DEB" w14:paraId="10064F5D" w14:textId="77777777" w:rsidTr="00D23C49">
        <w:tc>
          <w:tcPr>
            <w:tcW w:w="1180" w:type="dxa"/>
          </w:tcPr>
          <w:p w14:paraId="02B07C46" w14:textId="77777777" w:rsidR="00D23C49" w:rsidRPr="00433DEB" w:rsidRDefault="00D23C49" w:rsidP="005C4A54">
            <w:r w:rsidRPr="00433DEB">
              <w:t>AMU</w:t>
            </w:r>
          </w:p>
        </w:tc>
        <w:tc>
          <w:tcPr>
            <w:tcW w:w="975" w:type="dxa"/>
          </w:tcPr>
          <w:p w14:paraId="479C3B08" w14:textId="77777777" w:rsidR="00D23C49" w:rsidRPr="00433DEB" w:rsidRDefault="00D23C49" w:rsidP="005C4A54">
            <w:r w:rsidRPr="00433DEB">
              <w:t>470</w:t>
            </w:r>
          </w:p>
        </w:tc>
        <w:tc>
          <w:tcPr>
            <w:tcW w:w="2340" w:type="dxa"/>
          </w:tcPr>
          <w:p w14:paraId="4F918530" w14:textId="30BBB92B" w:rsidR="00D23C49" w:rsidRPr="00433DEB" w:rsidRDefault="00D23C49" w:rsidP="005C4A54">
            <w:r w:rsidRPr="00433DEB">
              <w:t>1989</w:t>
            </w:r>
            <w:r>
              <w:t>—2019</w:t>
            </w:r>
          </w:p>
        </w:tc>
      </w:tr>
      <w:tr w:rsidR="00D23C49" w:rsidRPr="00433DEB" w14:paraId="4828D0CE" w14:textId="77777777" w:rsidTr="00D23C49">
        <w:tc>
          <w:tcPr>
            <w:tcW w:w="1180" w:type="dxa"/>
          </w:tcPr>
          <w:p w14:paraId="5D1F5450" w14:textId="77777777" w:rsidR="00D23C49" w:rsidRPr="00433DEB" w:rsidRDefault="00D23C49" w:rsidP="005C4A54">
            <w:r w:rsidRPr="00433DEB">
              <w:t>APEC</w:t>
            </w:r>
          </w:p>
        </w:tc>
        <w:tc>
          <w:tcPr>
            <w:tcW w:w="975" w:type="dxa"/>
          </w:tcPr>
          <w:p w14:paraId="15F25D61" w14:textId="77777777" w:rsidR="00D23C49" w:rsidRPr="00433DEB" w:rsidRDefault="00D23C49" w:rsidP="005C4A54">
            <w:r w:rsidRPr="00433DEB">
              <w:t>650</w:t>
            </w:r>
          </w:p>
        </w:tc>
        <w:tc>
          <w:tcPr>
            <w:tcW w:w="2340" w:type="dxa"/>
          </w:tcPr>
          <w:p w14:paraId="0DF4FD53" w14:textId="2D0BA545" w:rsidR="00D23C49" w:rsidRPr="00433DEB" w:rsidRDefault="00D23C49" w:rsidP="005C4A54">
            <w:r w:rsidRPr="00433DEB">
              <w:t>1991</w:t>
            </w:r>
            <w:r>
              <w:t>—2019</w:t>
            </w:r>
          </w:p>
        </w:tc>
      </w:tr>
      <w:tr w:rsidR="00D23C49" w:rsidRPr="00433DEB" w14:paraId="6F7736C5" w14:textId="77777777" w:rsidTr="00D23C49">
        <w:tc>
          <w:tcPr>
            <w:tcW w:w="1180" w:type="dxa"/>
          </w:tcPr>
          <w:p w14:paraId="60DF3976" w14:textId="77777777" w:rsidR="00D23C49" w:rsidRPr="00433DEB" w:rsidRDefault="00D23C49" w:rsidP="005C4A54">
            <w:r w:rsidRPr="00433DEB">
              <w:t>ASEAN</w:t>
            </w:r>
          </w:p>
        </w:tc>
        <w:tc>
          <w:tcPr>
            <w:tcW w:w="975" w:type="dxa"/>
          </w:tcPr>
          <w:p w14:paraId="6EAC60C5" w14:textId="77777777" w:rsidR="00D23C49" w:rsidRPr="00433DEB" w:rsidRDefault="00D23C49" w:rsidP="005C4A54">
            <w:r w:rsidRPr="00433DEB">
              <w:t>750</w:t>
            </w:r>
          </w:p>
        </w:tc>
        <w:tc>
          <w:tcPr>
            <w:tcW w:w="2340" w:type="dxa"/>
          </w:tcPr>
          <w:p w14:paraId="66095DE6" w14:textId="6E0A50E4" w:rsidR="00D23C49" w:rsidRPr="00433DEB" w:rsidRDefault="00D23C49" w:rsidP="005C4A54">
            <w:r w:rsidRPr="00433DEB">
              <w:t>1967</w:t>
            </w:r>
            <w:r>
              <w:t>—2019</w:t>
            </w:r>
          </w:p>
        </w:tc>
      </w:tr>
      <w:tr w:rsidR="00D23C49" w:rsidRPr="00433DEB" w14:paraId="3EA53527" w14:textId="77777777" w:rsidTr="00D23C49">
        <w:tc>
          <w:tcPr>
            <w:tcW w:w="1180" w:type="dxa"/>
          </w:tcPr>
          <w:p w14:paraId="4B7D0EF0" w14:textId="77777777" w:rsidR="00D23C49" w:rsidRPr="00433DEB" w:rsidRDefault="00D23C49" w:rsidP="005C4A54">
            <w:r w:rsidRPr="00433DEB">
              <w:t>AU</w:t>
            </w:r>
          </w:p>
        </w:tc>
        <w:tc>
          <w:tcPr>
            <w:tcW w:w="975" w:type="dxa"/>
          </w:tcPr>
          <w:p w14:paraId="17B2F245" w14:textId="77777777" w:rsidR="00D23C49" w:rsidRPr="00433DEB" w:rsidRDefault="00D23C49" w:rsidP="005C4A54">
            <w:r w:rsidRPr="00433DEB">
              <w:t>3760</w:t>
            </w:r>
          </w:p>
        </w:tc>
        <w:tc>
          <w:tcPr>
            <w:tcW w:w="2340" w:type="dxa"/>
          </w:tcPr>
          <w:p w14:paraId="4704F5D1" w14:textId="2BD8B4F7" w:rsidR="00D23C49" w:rsidRPr="00433DEB" w:rsidRDefault="00D23C49" w:rsidP="005C4A54">
            <w:r w:rsidRPr="00433DEB">
              <w:t>1963</w:t>
            </w:r>
            <w:r>
              <w:t>—2019</w:t>
            </w:r>
          </w:p>
        </w:tc>
      </w:tr>
      <w:tr w:rsidR="00D23C49" w:rsidRPr="00433DEB" w14:paraId="39599D80" w14:textId="77777777" w:rsidTr="00D23C49">
        <w:tc>
          <w:tcPr>
            <w:tcW w:w="1180" w:type="dxa"/>
          </w:tcPr>
          <w:p w14:paraId="62F4EDC3" w14:textId="77777777" w:rsidR="00D23C49" w:rsidRPr="00433DEB" w:rsidRDefault="00D23C49" w:rsidP="005C4A54">
            <w:r w:rsidRPr="00433DEB">
              <w:t>BIS</w:t>
            </w:r>
          </w:p>
        </w:tc>
        <w:tc>
          <w:tcPr>
            <w:tcW w:w="975" w:type="dxa"/>
          </w:tcPr>
          <w:p w14:paraId="69522E73" w14:textId="77777777" w:rsidR="00D23C49" w:rsidRPr="00433DEB" w:rsidRDefault="00D23C49" w:rsidP="005C4A54">
            <w:r w:rsidRPr="00433DEB">
              <w:t>810</w:t>
            </w:r>
          </w:p>
        </w:tc>
        <w:tc>
          <w:tcPr>
            <w:tcW w:w="2340" w:type="dxa"/>
          </w:tcPr>
          <w:p w14:paraId="10CCDF1A" w14:textId="229322CE" w:rsidR="00D23C49" w:rsidRPr="00433DEB" w:rsidRDefault="00D23C49" w:rsidP="005C4A54">
            <w:r w:rsidRPr="00433DEB">
              <w:t>1950</w:t>
            </w:r>
            <w:r>
              <w:t>—2019</w:t>
            </w:r>
          </w:p>
        </w:tc>
      </w:tr>
      <w:tr w:rsidR="00D23C49" w:rsidRPr="00433DEB" w14:paraId="467E4360" w14:textId="77777777" w:rsidTr="00D23C49">
        <w:tc>
          <w:tcPr>
            <w:tcW w:w="1180" w:type="dxa"/>
          </w:tcPr>
          <w:p w14:paraId="3DFC1A68" w14:textId="77777777" w:rsidR="00D23C49" w:rsidRPr="00433DEB" w:rsidRDefault="00D23C49" w:rsidP="005C4A54">
            <w:r w:rsidRPr="00433DEB">
              <w:t>Benelux</w:t>
            </w:r>
          </w:p>
        </w:tc>
        <w:tc>
          <w:tcPr>
            <w:tcW w:w="975" w:type="dxa"/>
          </w:tcPr>
          <w:p w14:paraId="0B8DD8A2" w14:textId="77777777" w:rsidR="00D23C49" w:rsidRPr="00433DEB" w:rsidRDefault="00D23C49" w:rsidP="005C4A54">
            <w:r w:rsidRPr="00433DEB">
              <w:t>840</w:t>
            </w:r>
          </w:p>
        </w:tc>
        <w:tc>
          <w:tcPr>
            <w:tcW w:w="2340" w:type="dxa"/>
          </w:tcPr>
          <w:p w14:paraId="5BBC71F4" w14:textId="01AAFF33" w:rsidR="00D23C49" w:rsidRPr="00433DEB" w:rsidRDefault="00D23C49" w:rsidP="005C4A54">
            <w:r w:rsidRPr="00433DEB">
              <w:t>1950</w:t>
            </w:r>
            <w:r>
              <w:t>—2019</w:t>
            </w:r>
          </w:p>
        </w:tc>
      </w:tr>
      <w:tr w:rsidR="00D23C49" w:rsidRPr="00433DEB" w14:paraId="0AEBED77" w14:textId="77777777" w:rsidTr="00D23C49">
        <w:tc>
          <w:tcPr>
            <w:tcW w:w="1180" w:type="dxa"/>
          </w:tcPr>
          <w:p w14:paraId="74EB8639" w14:textId="77777777" w:rsidR="00D23C49" w:rsidRPr="00433DEB" w:rsidRDefault="00D23C49" w:rsidP="005C4A54">
            <w:r w:rsidRPr="00433DEB">
              <w:t>CABI</w:t>
            </w:r>
          </w:p>
        </w:tc>
        <w:tc>
          <w:tcPr>
            <w:tcW w:w="975" w:type="dxa"/>
          </w:tcPr>
          <w:p w14:paraId="0A893C6F" w14:textId="77777777" w:rsidR="00D23C49" w:rsidRPr="00433DEB" w:rsidRDefault="00D23C49" w:rsidP="005C4A54">
            <w:r w:rsidRPr="00433DEB">
              <w:t>871</w:t>
            </w:r>
          </w:p>
        </w:tc>
        <w:tc>
          <w:tcPr>
            <w:tcW w:w="2340" w:type="dxa"/>
          </w:tcPr>
          <w:p w14:paraId="4DE02E63" w14:textId="180CEA26" w:rsidR="00D23C49" w:rsidRPr="00433DEB" w:rsidRDefault="00D23C49" w:rsidP="005C4A54">
            <w:r w:rsidRPr="00433DEB">
              <w:t>1987</w:t>
            </w:r>
            <w:r>
              <w:t>—2019</w:t>
            </w:r>
          </w:p>
        </w:tc>
      </w:tr>
      <w:tr w:rsidR="00D23C49" w:rsidRPr="00433DEB" w14:paraId="658AB14D" w14:textId="77777777" w:rsidTr="00D23C49">
        <w:tc>
          <w:tcPr>
            <w:tcW w:w="1180" w:type="dxa"/>
          </w:tcPr>
          <w:p w14:paraId="1801AEAC" w14:textId="77777777" w:rsidR="00D23C49" w:rsidRPr="00433DEB" w:rsidRDefault="00D23C49" w:rsidP="005C4A54">
            <w:r w:rsidRPr="00433DEB">
              <w:t>CAN</w:t>
            </w:r>
          </w:p>
        </w:tc>
        <w:tc>
          <w:tcPr>
            <w:tcW w:w="975" w:type="dxa"/>
          </w:tcPr>
          <w:p w14:paraId="1396B80E" w14:textId="77777777" w:rsidR="00D23C49" w:rsidRPr="00433DEB" w:rsidRDefault="00D23C49" w:rsidP="005C4A54">
            <w:r w:rsidRPr="00433DEB">
              <w:t>330</w:t>
            </w:r>
          </w:p>
        </w:tc>
        <w:tc>
          <w:tcPr>
            <w:tcW w:w="2340" w:type="dxa"/>
          </w:tcPr>
          <w:p w14:paraId="181FB413" w14:textId="7DB9E54A" w:rsidR="00D23C49" w:rsidRPr="00433DEB" w:rsidRDefault="00D23C49" w:rsidP="005C4A54">
            <w:r w:rsidRPr="00433DEB">
              <w:t>1969</w:t>
            </w:r>
            <w:r>
              <w:t>—2019</w:t>
            </w:r>
          </w:p>
        </w:tc>
      </w:tr>
      <w:tr w:rsidR="00D23C49" w:rsidRPr="00433DEB" w14:paraId="21FDF04E" w14:textId="77777777" w:rsidTr="00D23C49">
        <w:tc>
          <w:tcPr>
            <w:tcW w:w="1180" w:type="dxa"/>
          </w:tcPr>
          <w:p w14:paraId="14C0CC63" w14:textId="77777777" w:rsidR="00D23C49" w:rsidRPr="00433DEB" w:rsidRDefault="00D23C49" w:rsidP="005C4A54">
            <w:r w:rsidRPr="00433DEB">
              <w:t>CCNR</w:t>
            </w:r>
          </w:p>
        </w:tc>
        <w:tc>
          <w:tcPr>
            <w:tcW w:w="975" w:type="dxa"/>
          </w:tcPr>
          <w:p w14:paraId="436DBDA4" w14:textId="77777777" w:rsidR="00D23C49" w:rsidRPr="00433DEB" w:rsidRDefault="00D23C49" w:rsidP="005C4A54">
            <w:r w:rsidRPr="00433DEB">
              <w:t>1050</w:t>
            </w:r>
          </w:p>
        </w:tc>
        <w:tc>
          <w:tcPr>
            <w:tcW w:w="2340" w:type="dxa"/>
          </w:tcPr>
          <w:p w14:paraId="641127F3" w14:textId="5F9E53EC" w:rsidR="00D23C49" w:rsidRPr="00433DEB" w:rsidRDefault="00D23C49" w:rsidP="005C4A54">
            <w:r w:rsidRPr="00433DEB">
              <w:t>1950</w:t>
            </w:r>
            <w:r>
              <w:t>—2019</w:t>
            </w:r>
          </w:p>
        </w:tc>
      </w:tr>
      <w:tr w:rsidR="00D23C49" w:rsidRPr="00433DEB" w14:paraId="0456C062" w14:textId="77777777" w:rsidTr="00D23C49">
        <w:tc>
          <w:tcPr>
            <w:tcW w:w="1180" w:type="dxa"/>
          </w:tcPr>
          <w:p w14:paraId="25F89324" w14:textId="77777777" w:rsidR="00D23C49" w:rsidRPr="00433DEB" w:rsidRDefault="00D23C49" w:rsidP="005C4A54">
            <w:r w:rsidRPr="00433DEB">
              <w:t>CEMAC</w:t>
            </w:r>
          </w:p>
        </w:tc>
        <w:tc>
          <w:tcPr>
            <w:tcW w:w="975" w:type="dxa"/>
          </w:tcPr>
          <w:p w14:paraId="4C3190E6" w14:textId="77777777" w:rsidR="00D23C49" w:rsidRPr="00433DEB" w:rsidRDefault="00D23C49" w:rsidP="005C4A54">
            <w:r w:rsidRPr="00433DEB">
              <w:t>1260</w:t>
            </w:r>
          </w:p>
        </w:tc>
        <w:tc>
          <w:tcPr>
            <w:tcW w:w="2340" w:type="dxa"/>
          </w:tcPr>
          <w:p w14:paraId="2490AE52" w14:textId="08BEDF68" w:rsidR="00D23C49" w:rsidRPr="00433DEB" w:rsidRDefault="00D23C49" w:rsidP="005C4A54">
            <w:r w:rsidRPr="00433DEB">
              <w:t>1966</w:t>
            </w:r>
            <w:r>
              <w:t>—2019</w:t>
            </w:r>
          </w:p>
        </w:tc>
      </w:tr>
      <w:tr w:rsidR="00D23C49" w:rsidRPr="00433DEB" w14:paraId="71A13AD9" w14:textId="77777777" w:rsidTr="00D23C49">
        <w:tc>
          <w:tcPr>
            <w:tcW w:w="1180" w:type="dxa"/>
          </w:tcPr>
          <w:p w14:paraId="0F1F209C" w14:textId="77777777" w:rsidR="00D23C49" w:rsidRPr="00433DEB" w:rsidRDefault="00D23C49" w:rsidP="005C4A54">
            <w:r w:rsidRPr="00433DEB">
              <w:t>CERN</w:t>
            </w:r>
          </w:p>
        </w:tc>
        <w:tc>
          <w:tcPr>
            <w:tcW w:w="975" w:type="dxa"/>
          </w:tcPr>
          <w:p w14:paraId="3832AC35" w14:textId="77777777" w:rsidR="00D23C49" w:rsidRPr="00433DEB" w:rsidRDefault="00D23C49" w:rsidP="005C4A54">
            <w:r w:rsidRPr="00433DEB">
              <w:t>1720</w:t>
            </w:r>
          </w:p>
        </w:tc>
        <w:tc>
          <w:tcPr>
            <w:tcW w:w="2340" w:type="dxa"/>
          </w:tcPr>
          <w:p w14:paraId="0B053530" w14:textId="1D8D4717" w:rsidR="00D23C49" w:rsidRPr="00433DEB" w:rsidRDefault="00D23C49" w:rsidP="005C4A54">
            <w:r w:rsidRPr="00433DEB">
              <w:t>1954</w:t>
            </w:r>
            <w:r>
              <w:t>—2019</w:t>
            </w:r>
          </w:p>
        </w:tc>
      </w:tr>
      <w:tr w:rsidR="00D23C49" w:rsidRPr="00433DEB" w14:paraId="35F949F5" w14:textId="77777777" w:rsidTr="00D23C49">
        <w:tc>
          <w:tcPr>
            <w:tcW w:w="1180" w:type="dxa"/>
          </w:tcPr>
          <w:p w14:paraId="515B7E9B" w14:textId="77777777" w:rsidR="00D23C49" w:rsidRPr="00433DEB" w:rsidRDefault="00D23C49" w:rsidP="005C4A54">
            <w:r w:rsidRPr="00433DEB">
              <w:t>CIS</w:t>
            </w:r>
          </w:p>
        </w:tc>
        <w:tc>
          <w:tcPr>
            <w:tcW w:w="975" w:type="dxa"/>
          </w:tcPr>
          <w:p w14:paraId="3E14F02D" w14:textId="77777777" w:rsidR="00D23C49" w:rsidRPr="00433DEB" w:rsidRDefault="00D23C49" w:rsidP="005C4A54">
            <w:r w:rsidRPr="00433DEB">
              <w:t>1230</w:t>
            </w:r>
          </w:p>
        </w:tc>
        <w:tc>
          <w:tcPr>
            <w:tcW w:w="2340" w:type="dxa"/>
          </w:tcPr>
          <w:p w14:paraId="444ECF74" w14:textId="4FECFA92" w:rsidR="00D23C49" w:rsidRPr="00433DEB" w:rsidRDefault="00D23C49" w:rsidP="005C4A54">
            <w:r w:rsidRPr="00433DEB">
              <w:t>1992</w:t>
            </w:r>
            <w:r>
              <w:t>—2019</w:t>
            </w:r>
          </w:p>
        </w:tc>
      </w:tr>
      <w:tr w:rsidR="00D23C49" w:rsidRPr="00433DEB" w14:paraId="7D1DEEE2" w14:textId="77777777" w:rsidTr="00D23C49">
        <w:tc>
          <w:tcPr>
            <w:tcW w:w="1180" w:type="dxa"/>
          </w:tcPr>
          <w:p w14:paraId="37970835" w14:textId="77777777" w:rsidR="00D23C49" w:rsidRPr="00433DEB" w:rsidRDefault="00D23C49" w:rsidP="005C4A54">
            <w:r w:rsidRPr="00433DEB">
              <w:t>COE</w:t>
            </w:r>
          </w:p>
        </w:tc>
        <w:tc>
          <w:tcPr>
            <w:tcW w:w="975" w:type="dxa"/>
          </w:tcPr>
          <w:p w14:paraId="3822A8AE" w14:textId="77777777" w:rsidR="00D23C49" w:rsidRPr="00433DEB" w:rsidRDefault="00D23C49" w:rsidP="005C4A54">
            <w:r w:rsidRPr="00433DEB">
              <w:t>1390</w:t>
            </w:r>
          </w:p>
        </w:tc>
        <w:tc>
          <w:tcPr>
            <w:tcW w:w="2340" w:type="dxa"/>
          </w:tcPr>
          <w:p w14:paraId="24ADE35E" w14:textId="2A44121F" w:rsidR="00D23C49" w:rsidRPr="00433DEB" w:rsidRDefault="00D23C49" w:rsidP="005C4A54">
            <w:r w:rsidRPr="00433DEB">
              <w:t>1950</w:t>
            </w:r>
            <w:r>
              <w:t>—2019</w:t>
            </w:r>
          </w:p>
        </w:tc>
      </w:tr>
      <w:tr w:rsidR="00D23C49" w:rsidRPr="00433DEB" w14:paraId="7608C7C9" w14:textId="77777777" w:rsidTr="00D23C49">
        <w:tc>
          <w:tcPr>
            <w:tcW w:w="1180" w:type="dxa"/>
          </w:tcPr>
          <w:p w14:paraId="00623D01" w14:textId="77777777" w:rsidR="00D23C49" w:rsidRPr="00433DEB" w:rsidRDefault="00D23C49" w:rsidP="005C4A54">
            <w:r w:rsidRPr="00433DEB">
              <w:t>COMECON</w:t>
            </w:r>
          </w:p>
        </w:tc>
        <w:tc>
          <w:tcPr>
            <w:tcW w:w="975" w:type="dxa"/>
          </w:tcPr>
          <w:p w14:paraId="53CB0E3A" w14:textId="77777777" w:rsidR="00D23C49" w:rsidRPr="00433DEB" w:rsidRDefault="00D23C49" w:rsidP="005C4A54">
            <w:r w:rsidRPr="00433DEB">
              <w:t>1370</w:t>
            </w:r>
          </w:p>
        </w:tc>
        <w:tc>
          <w:tcPr>
            <w:tcW w:w="2340" w:type="dxa"/>
          </w:tcPr>
          <w:p w14:paraId="2FEDB01F" w14:textId="547FBC79" w:rsidR="00D23C49" w:rsidRPr="00433DEB" w:rsidRDefault="00D23C49" w:rsidP="005C4A54">
            <w:r w:rsidRPr="00433DEB">
              <w:t>1959</w:t>
            </w:r>
            <w:r>
              <w:t>—1991</w:t>
            </w:r>
          </w:p>
        </w:tc>
      </w:tr>
      <w:tr w:rsidR="00D23C49" w:rsidRPr="00433DEB" w14:paraId="3AE0E045" w14:textId="77777777" w:rsidTr="00D23C49">
        <w:tc>
          <w:tcPr>
            <w:tcW w:w="1180" w:type="dxa"/>
          </w:tcPr>
          <w:p w14:paraId="49E56C52" w14:textId="77777777" w:rsidR="00D23C49" w:rsidRPr="00433DEB" w:rsidRDefault="00D23C49" w:rsidP="005C4A54">
            <w:r w:rsidRPr="00433DEB">
              <w:t>COMESA</w:t>
            </w:r>
          </w:p>
        </w:tc>
        <w:tc>
          <w:tcPr>
            <w:tcW w:w="975" w:type="dxa"/>
          </w:tcPr>
          <w:p w14:paraId="01795AD6" w14:textId="77777777" w:rsidR="00D23C49" w:rsidRPr="00433DEB" w:rsidRDefault="00D23C49" w:rsidP="005C4A54">
            <w:r w:rsidRPr="00433DEB">
              <w:t>1170</w:t>
            </w:r>
          </w:p>
        </w:tc>
        <w:tc>
          <w:tcPr>
            <w:tcW w:w="2340" w:type="dxa"/>
          </w:tcPr>
          <w:p w14:paraId="279E7D70" w14:textId="1077FD91" w:rsidR="00D23C49" w:rsidRPr="00433DEB" w:rsidRDefault="00D23C49" w:rsidP="005C4A54">
            <w:r w:rsidRPr="00433DEB">
              <w:t>1982</w:t>
            </w:r>
            <w:r>
              <w:t>—2019</w:t>
            </w:r>
          </w:p>
        </w:tc>
      </w:tr>
      <w:tr w:rsidR="00D23C49" w:rsidRPr="00433DEB" w14:paraId="15C693DC" w14:textId="77777777" w:rsidTr="00D23C49">
        <w:tc>
          <w:tcPr>
            <w:tcW w:w="1180" w:type="dxa"/>
          </w:tcPr>
          <w:p w14:paraId="60088CAC" w14:textId="77777777" w:rsidR="00D23C49" w:rsidRPr="00433DEB" w:rsidRDefault="00D23C49" w:rsidP="005C4A54">
            <w:r w:rsidRPr="00433DEB">
              <w:t>Caricom</w:t>
            </w:r>
          </w:p>
        </w:tc>
        <w:tc>
          <w:tcPr>
            <w:tcW w:w="975" w:type="dxa"/>
          </w:tcPr>
          <w:p w14:paraId="43097D4C" w14:textId="77777777" w:rsidR="00D23C49" w:rsidRPr="00433DEB" w:rsidRDefault="00D23C49" w:rsidP="005C4A54">
            <w:r w:rsidRPr="00433DEB">
              <w:t>880</w:t>
            </w:r>
          </w:p>
        </w:tc>
        <w:tc>
          <w:tcPr>
            <w:tcW w:w="2340" w:type="dxa"/>
          </w:tcPr>
          <w:p w14:paraId="5E18AC24" w14:textId="2C2779E2" w:rsidR="00D23C49" w:rsidRPr="00433DEB" w:rsidRDefault="00D23C49" w:rsidP="005C4A54">
            <w:r w:rsidRPr="00433DEB">
              <w:t>1968</w:t>
            </w:r>
            <w:r>
              <w:t>—2019</w:t>
            </w:r>
          </w:p>
        </w:tc>
      </w:tr>
      <w:tr w:rsidR="00D23C49" w:rsidRPr="00433DEB" w14:paraId="211B7F5E" w14:textId="77777777" w:rsidTr="00D23C49">
        <w:tc>
          <w:tcPr>
            <w:tcW w:w="1180" w:type="dxa"/>
          </w:tcPr>
          <w:p w14:paraId="7E232354" w14:textId="77777777" w:rsidR="00D23C49" w:rsidRPr="00433DEB" w:rsidRDefault="00D23C49" w:rsidP="005C4A54">
            <w:r w:rsidRPr="00433DEB">
              <w:t>ComSec</w:t>
            </w:r>
          </w:p>
        </w:tc>
        <w:tc>
          <w:tcPr>
            <w:tcW w:w="975" w:type="dxa"/>
          </w:tcPr>
          <w:p w14:paraId="250F4780" w14:textId="77777777" w:rsidR="00D23C49" w:rsidRPr="00433DEB" w:rsidRDefault="00D23C49" w:rsidP="005C4A54">
            <w:r w:rsidRPr="00433DEB">
              <w:t>1240</w:t>
            </w:r>
          </w:p>
        </w:tc>
        <w:tc>
          <w:tcPr>
            <w:tcW w:w="2340" w:type="dxa"/>
          </w:tcPr>
          <w:p w14:paraId="5636C840" w14:textId="017BA41A" w:rsidR="00D23C49" w:rsidRPr="00433DEB" w:rsidRDefault="00D23C49" w:rsidP="005C4A54">
            <w:r w:rsidRPr="00433DEB">
              <w:t>1965</w:t>
            </w:r>
            <w:r>
              <w:t>—2019</w:t>
            </w:r>
          </w:p>
        </w:tc>
      </w:tr>
      <w:tr w:rsidR="00D23C49" w:rsidRPr="00433DEB" w14:paraId="0D1D23AB" w14:textId="77777777" w:rsidTr="00D23C49">
        <w:tc>
          <w:tcPr>
            <w:tcW w:w="1180" w:type="dxa"/>
          </w:tcPr>
          <w:p w14:paraId="36F1F64A" w14:textId="77777777" w:rsidR="00D23C49" w:rsidRPr="00433DEB" w:rsidRDefault="00D23C49" w:rsidP="005C4A54">
            <w:r w:rsidRPr="00433DEB">
              <w:t>EAC1</w:t>
            </w:r>
          </w:p>
        </w:tc>
        <w:tc>
          <w:tcPr>
            <w:tcW w:w="975" w:type="dxa"/>
          </w:tcPr>
          <w:p w14:paraId="7B82571C" w14:textId="77777777" w:rsidR="00D23C49" w:rsidRPr="00433DEB" w:rsidRDefault="00D23C49" w:rsidP="005C4A54">
            <w:r w:rsidRPr="00433DEB">
              <w:t>1750</w:t>
            </w:r>
          </w:p>
        </w:tc>
        <w:tc>
          <w:tcPr>
            <w:tcW w:w="2340" w:type="dxa"/>
          </w:tcPr>
          <w:p w14:paraId="5254D265" w14:textId="475114BB" w:rsidR="00D23C49" w:rsidRPr="00433DEB" w:rsidRDefault="00D23C49" w:rsidP="005C4A54">
            <w:r w:rsidRPr="00433DEB">
              <w:t>1967</w:t>
            </w:r>
            <w:r>
              <w:t>—1976</w:t>
            </w:r>
          </w:p>
        </w:tc>
      </w:tr>
      <w:tr w:rsidR="00D23C49" w:rsidRPr="00433DEB" w14:paraId="7189686F" w14:textId="77777777" w:rsidTr="00D23C49">
        <w:tc>
          <w:tcPr>
            <w:tcW w:w="1180" w:type="dxa"/>
          </w:tcPr>
          <w:p w14:paraId="31EE0FD8" w14:textId="77777777" w:rsidR="00D23C49" w:rsidRPr="00433DEB" w:rsidRDefault="00D23C49" w:rsidP="005C4A54">
            <w:r w:rsidRPr="00433DEB">
              <w:t>EAC2</w:t>
            </w:r>
          </w:p>
        </w:tc>
        <w:tc>
          <w:tcPr>
            <w:tcW w:w="975" w:type="dxa"/>
          </w:tcPr>
          <w:p w14:paraId="14E29834" w14:textId="77777777" w:rsidR="00D23C49" w:rsidRPr="00433DEB" w:rsidRDefault="00D23C49" w:rsidP="005C4A54">
            <w:r w:rsidRPr="00433DEB">
              <w:t>1751</w:t>
            </w:r>
          </w:p>
        </w:tc>
        <w:tc>
          <w:tcPr>
            <w:tcW w:w="2340" w:type="dxa"/>
          </w:tcPr>
          <w:p w14:paraId="53F5C859" w14:textId="7F533A7B" w:rsidR="00D23C49" w:rsidRPr="00433DEB" w:rsidRDefault="00D23C49" w:rsidP="005C4A54">
            <w:r w:rsidRPr="00433DEB">
              <w:t>1993</w:t>
            </w:r>
            <w:r>
              <w:t>—2019</w:t>
            </w:r>
          </w:p>
        </w:tc>
      </w:tr>
      <w:tr w:rsidR="00D23C49" w:rsidRPr="00433DEB" w14:paraId="2C1142AA" w14:textId="77777777" w:rsidTr="00D23C49">
        <w:tc>
          <w:tcPr>
            <w:tcW w:w="1180" w:type="dxa"/>
          </w:tcPr>
          <w:p w14:paraId="3F786C1A" w14:textId="77777777" w:rsidR="00D23C49" w:rsidRPr="00433DEB" w:rsidRDefault="00D23C49" w:rsidP="005C4A54">
            <w:r w:rsidRPr="00433DEB">
              <w:t>ECCAS</w:t>
            </w:r>
          </w:p>
        </w:tc>
        <w:tc>
          <w:tcPr>
            <w:tcW w:w="975" w:type="dxa"/>
          </w:tcPr>
          <w:p w14:paraId="09D7EC01" w14:textId="77777777" w:rsidR="00D23C49" w:rsidRPr="00433DEB" w:rsidRDefault="00D23C49" w:rsidP="005C4A54">
            <w:r w:rsidRPr="00433DEB">
              <w:t>1500</w:t>
            </w:r>
          </w:p>
        </w:tc>
        <w:tc>
          <w:tcPr>
            <w:tcW w:w="2340" w:type="dxa"/>
          </w:tcPr>
          <w:p w14:paraId="3B858B93" w14:textId="36F77400" w:rsidR="00D23C49" w:rsidRPr="00433DEB" w:rsidRDefault="00D23C49" w:rsidP="005C4A54">
            <w:r w:rsidRPr="00433DEB">
              <w:t>1985</w:t>
            </w:r>
            <w:r>
              <w:t>—2019</w:t>
            </w:r>
          </w:p>
        </w:tc>
      </w:tr>
      <w:tr w:rsidR="00D23C49" w:rsidRPr="00433DEB" w14:paraId="243F4694" w14:textId="77777777" w:rsidTr="00D23C49">
        <w:tc>
          <w:tcPr>
            <w:tcW w:w="1180" w:type="dxa"/>
          </w:tcPr>
          <w:p w14:paraId="2D373506" w14:textId="77777777" w:rsidR="00D23C49" w:rsidRPr="00433DEB" w:rsidRDefault="00D23C49" w:rsidP="005C4A54">
            <w:r w:rsidRPr="00433DEB">
              <w:t>ECOWAS</w:t>
            </w:r>
          </w:p>
        </w:tc>
        <w:tc>
          <w:tcPr>
            <w:tcW w:w="975" w:type="dxa"/>
          </w:tcPr>
          <w:p w14:paraId="39F9E2AC" w14:textId="77777777" w:rsidR="00D23C49" w:rsidRPr="00433DEB" w:rsidRDefault="00D23C49" w:rsidP="005C4A54">
            <w:r w:rsidRPr="00433DEB">
              <w:t>1520</w:t>
            </w:r>
          </w:p>
        </w:tc>
        <w:tc>
          <w:tcPr>
            <w:tcW w:w="2340" w:type="dxa"/>
          </w:tcPr>
          <w:p w14:paraId="4279C2DE" w14:textId="32295236" w:rsidR="00D23C49" w:rsidRPr="00433DEB" w:rsidRDefault="00D23C49" w:rsidP="005C4A54">
            <w:r w:rsidRPr="00433DEB">
              <w:t>1975</w:t>
            </w:r>
            <w:r>
              <w:t>—2019</w:t>
            </w:r>
          </w:p>
        </w:tc>
      </w:tr>
      <w:tr w:rsidR="00D23C49" w:rsidRPr="00433DEB" w14:paraId="3FE71473" w14:textId="77777777" w:rsidTr="00D23C49">
        <w:tc>
          <w:tcPr>
            <w:tcW w:w="1180" w:type="dxa"/>
          </w:tcPr>
          <w:p w14:paraId="2A836E57" w14:textId="77777777" w:rsidR="00D23C49" w:rsidRPr="00433DEB" w:rsidRDefault="00D23C49" w:rsidP="005C4A54">
            <w:r w:rsidRPr="00433DEB">
              <w:t>EEA</w:t>
            </w:r>
          </w:p>
        </w:tc>
        <w:tc>
          <w:tcPr>
            <w:tcW w:w="975" w:type="dxa"/>
          </w:tcPr>
          <w:p w14:paraId="0F2CB987" w14:textId="77777777" w:rsidR="00D23C49" w:rsidRPr="00433DEB" w:rsidRDefault="00D23C49" w:rsidP="005C4A54">
            <w:r w:rsidRPr="00433DEB">
              <w:t>1831</w:t>
            </w:r>
          </w:p>
        </w:tc>
        <w:tc>
          <w:tcPr>
            <w:tcW w:w="2340" w:type="dxa"/>
          </w:tcPr>
          <w:p w14:paraId="41D6332E" w14:textId="7643B8FB" w:rsidR="00D23C49" w:rsidRPr="00433DEB" w:rsidRDefault="00D23C49" w:rsidP="005C4A54">
            <w:r w:rsidRPr="00433DEB">
              <w:t>1994</w:t>
            </w:r>
            <w:r>
              <w:t>—2019</w:t>
            </w:r>
          </w:p>
        </w:tc>
      </w:tr>
      <w:tr w:rsidR="00D23C49" w:rsidRPr="00433DEB" w14:paraId="2CC34F3F" w14:textId="77777777" w:rsidTr="00D23C49">
        <w:tc>
          <w:tcPr>
            <w:tcW w:w="1180" w:type="dxa"/>
          </w:tcPr>
          <w:p w14:paraId="1F084F94" w14:textId="77777777" w:rsidR="00D23C49" w:rsidRPr="00433DEB" w:rsidRDefault="00D23C49" w:rsidP="005C4A54">
            <w:r w:rsidRPr="00433DEB">
              <w:t>EFTA</w:t>
            </w:r>
          </w:p>
        </w:tc>
        <w:tc>
          <w:tcPr>
            <w:tcW w:w="975" w:type="dxa"/>
          </w:tcPr>
          <w:p w14:paraId="1CE1A567" w14:textId="77777777" w:rsidR="00D23C49" w:rsidRPr="00433DEB" w:rsidRDefault="00D23C49" w:rsidP="005C4A54">
            <w:r w:rsidRPr="00433DEB">
              <w:t>1670</w:t>
            </w:r>
          </w:p>
        </w:tc>
        <w:tc>
          <w:tcPr>
            <w:tcW w:w="2340" w:type="dxa"/>
          </w:tcPr>
          <w:p w14:paraId="17932295" w14:textId="1F1C6D72" w:rsidR="00D23C49" w:rsidRPr="00433DEB" w:rsidRDefault="00D23C49" w:rsidP="005C4A54">
            <w:r w:rsidRPr="00433DEB">
              <w:t>1960</w:t>
            </w:r>
            <w:r>
              <w:t>—2019</w:t>
            </w:r>
          </w:p>
        </w:tc>
      </w:tr>
      <w:tr w:rsidR="00D23C49" w:rsidRPr="00433DEB" w14:paraId="38290D5F" w14:textId="77777777" w:rsidTr="00D23C49">
        <w:tc>
          <w:tcPr>
            <w:tcW w:w="1180" w:type="dxa"/>
          </w:tcPr>
          <w:p w14:paraId="5BC3EED1" w14:textId="77777777" w:rsidR="00D23C49" w:rsidRPr="00433DEB" w:rsidRDefault="00D23C49" w:rsidP="005C4A54">
            <w:r w:rsidRPr="00433DEB">
              <w:t>ESA</w:t>
            </w:r>
          </w:p>
        </w:tc>
        <w:tc>
          <w:tcPr>
            <w:tcW w:w="975" w:type="dxa"/>
          </w:tcPr>
          <w:p w14:paraId="06ADAAFC" w14:textId="77777777" w:rsidR="00D23C49" w:rsidRPr="00433DEB" w:rsidRDefault="00D23C49" w:rsidP="005C4A54">
            <w:r w:rsidRPr="00433DEB">
              <w:t>1790</w:t>
            </w:r>
          </w:p>
        </w:tc>
        <w:tc>
          <w:tcPr>
            <w:tcW w:w="2340" w:type="dxa"/>
          </w:tcPr>
          <w:p w14:paraId="4F853DF8" w14:textId="209F766C" w:rsidR="00D23C49" w:rsidRPr="00433DEB" w:rsidRDefault="00D23C49" w:rsidP="005C4A54">
            <w:r w:rsidRPr="00433DEB">
              <w:t>1980</w:t>
            </w:r>
            <w:r>
              <w:t>—2019</w:t>
            </w:r>
          </w:p>
        </w:tc>
      </w:tr>
      <w:tr w:rsidR="00D23C49" w:rsidRPr="00433DEB" w14:paraId="4F8149D2" w14:textId="77777777" w:rsidTr="00D23C49">
        <w:tc>
          <w:tcPr>
            <w:tcW w:w="1180" w:type="dxa"/>
          </w:tcPr>
          <w:p w14:paraId="19F2B61A" w14:textId="77777777" w:rsidR="00D23C49" w:rsidRPr="00433DEB" w:rsidRDefault="00D23C49" w:rsidP="005C4A54">
            <w:r w:rsidRPr="00433DEB">
              <w:t>EU</w:t>
            </w:r>
          </w:p>
        </w:tc>
        <w:tc>
          <w:tcPr>
            <w:tcW w:w="975" w:type="dxa"/>
          </w:tcPr>
          <w:p w14:paraId="0F40CCF4" w14:textId="77777777" w:rsidR="00D23C49" w:rsidRPr="00433DEB" w:rsidRDefault="00D23C49" w:rsidP="005C4A54">
            <w:r w:rsidRPr="00433DEB">
              <w:t>1830</w:t>
            </w:r>
          </w:p>
        </w:tc>
        <w:tc>
          <w:tcPr>
            <w:tcW w:w="2340" w:type="dxa"/>
          </w:tcPr>
          <w:p w14:paraId="44036762" w14:textId="645E1C9C" w:rsidR="00D23C49" w:rsidRPr="00433DEB" w:rsidRDefault="00D23C49" w:rsidP="005C4A54">
            <w:r w:rsidRPr="00433DEB">
              <w:t>1952</w:t>
            </w:r>
            <w:r>
              <w:t>—2019</w:t>
            </w:r>
          </w:p>
        </w:tc>
      </w:tr>
      <w:tr w:rsidR="00D23C49" w:rsidRPr="00433DEB" w14:paraId="46D0D768" w14:textId="77777777" w:rsidTr="00D23C49">
        <w:tc>
          <w:tcPr>
            <w:tcW w:w="1180" w:type="dxa"/>
          </w:tcPr>
          <w:p w14:paraId="2DF9EFDB" w14:textId="77777777" w:rsidR="00D23C49" w:rsidRPr="00433DEB" w:rsidRDefault="00D23C49" w:rsidP="005C4A54">
            <w:r w:rsidRPr="00433DEB">
              <w:t>FAO</w:t>
            </w:r>
          </w:p>
        </w:tc>
        <w:tc>
          <w:tcPr>
            <w:tcW w:w="975" w:type="dxa"/>
          </w:tcPr>
          <w:p w14:paraId="687373FB" w14:textId="77777777" w:rsidR="00D23C49" w:rsidRPr="00433DEB" w:rsidRDefault="00D23C49" w:rsidP="005C4A54">
            <w:r w:rsidRPr="00433DEB">
              <w:t>1840</w:t>
            </w:r>
          </w:p>
        </w:tc>
        <w:tc>
          <w:tcPr>
            <w:tcW w:w="2340" w:type="dxa"/>
          </w:tcPr>
          <w:p w14:paraId="303552B4" w14:textId="229681D6" w:rsidR="00D23C49" w:rsidRPr="00433DEB" w:rsidRDefault="00D23C49" w:rsidP="005C4A54">
            <w:r w:rsidRPr="00433DEB">
              <w:t>1950</w:t>
            </w:r>
            <w:r>
              <w:t>—2019</w:t>
            </w:r>
          </w:p>
        </w:tc>
      </w:tr>
      <w:tr w:rsidR="00D23C49" w:rsidRPr="00433DEB" w14:paraId="22588CAD" w14:textId="77777777" w:rsidTr="00D23C49">
        <w:tc>
          <w:tcPr>
            <w:tcW w:w="1180" w:type="dxa"/>
          </w:tcPr>
          <w:p w14:paraId="54E499AE" w14:textId="77777777" w:rsidR="00D23C49" w:rsidRPr="00433DEB" w:rsidRDefault="00D23C49" w:rsidP="005C4A54">
            <w:r w:rsidRPr="00433DEB">
              <w:t>GCC</w:t>
            </w:r>
          </w:p>
        </w:tc>
        <w:tc>
          <w:tcPr>
            <w:tcW w:w="975" w:type="dxa"/>
          </w:tcPr>
          <w:p w14:paraId="60E88D70" w14:textId="77777777" w:rsidR="00D23C49" w:rsidRPr="00433DEB" w:rsidRDefault="00D23C49" w:rsidP="005C4A54">
            <w:r w:rsidRPr="00433DEB">
              <w:t>1990</w:t>
            </w:r>
          </w:p>
        </w:tc>
        <w:tc>
          <w:tcPr>
            <w:tcW w:w="2340" w:type="dxa"/>
          </w:tcPr>
          <w:p w14:paraId="5486EABC" w14:textId="02FFA60B" w:rsidR="00D23C49" w:rsidRPr="00433DEB" w:rsidRDefault="00D23C49" w:rsidP="005C4A54">
            <w:r w:rsidRPr="00433DEB">
              <w:t>1981</w:t>
            </w:r>
            <w:r>
              <w:t>—2019</w:t>
            </w:r>
          </w:p>
        </w:tc>
      </w:tr>
      <w:tr w:rsidR="00D23C49" w:rsidRPr="00433DEB" w14:paraId="4EAD0EDD" w14:textId="77777777" w:rsidTr="00D23C49">
        <w:tc>
          <w:tcPr>
            <w:tcW w:w="1180" w:type="dxa"/>
          </w:tcPr>
          <w:p w14:paraId="3A199666" w14:textId="77777777" w:rsidR="00D23C49" w:rsidRPr="00433DEB" w:rsidRDefault="00D23C49" w:rsidP="005C4A54">
            <w:r w:rsidRPr="00433DEB">
              <w:t>GEF</w:t>
            </w:r>
          </w:p>
        </w:tc>
        <w:tc>
          <w:tcPr>
            <w:tcW w:w="975" w:type="dxa"/>
          </w:tcPr>
          <w:p w14:paraId="02ABA0D3" w14:textId="77777777" w:rsidR="00D23C49" w:rsidRPr="00433DEB" w:rsidRDefault="00D23C49" w:rsidP="005C4A54">
            <w:r w:rsidRPr="00433DEB">
              <w:t>1900</w:t>
            </w:r>
          </w:p>
        </w:tc>
        <w:tc>
          <w:tcPr>
            <w:tcW w:w="2340" w:type="dxa"/>
          </w:tcPr>
          <w:p w14:paraId="0D4562FF" w14:textId="2491A96C" w:rsidR="00D23C49" w:rsidRPr="00433DEB" w:rsidRDefault="00D23C49" w:rsidP="005C4A54">
            <w:r w:rsidRPr="00433DEB">
              <w:t>1994</w:t>
            </w:r>
            <w:r>
              <w:t>—2019</w:t>
            </w:r>
          </w:p>
        </w:tc>
      </w:tr>
      <w:tr w:rsidR="00D23C49" w:rsidRPr="00433DEB" w14:paraId="051569F3" w14:textId="77777777" w:rsidTr="00D23C49">
        <w:tc>
          <w:tcPr>
            <w:tcW w:w="1180" w:type="dxa"/>
          </w:tcPr>
          <w:p w14:paraId="60201192" w14:textId="77777777" w:rsidR="00D23C49" w:rsidRPr="00433DEB" w:rsidRDefault="00D23C49" w:rsidP="005C4A54">
            <w:r w:rsidRPr="00433DEB">
              <w:t>IAEA</w:t>
            </w:r>
          </w:p>
        </w:tc>
        <w:tc>
          <w:tcPr>
            <w:tcW w:w="975" w:type="dxa"/>
          </w:tcPr>
          <w:p w14:paraId="494EED59" w14:textId="77777777" w:rsidR="00D23C49" w:rsidRPr="00433DEB" w:rsidRDefault="00D23C49" w:rsidP="005C4A54">
            <w:r w:rsidRPr="00433DEB">
              <w:t>2370</w:t>
            </w:r>
          </w:p>
        </w:tc>
        <w:tc>
          <w:tcPr>
            <w:tcW w:w="2340" w:type="dxa"/>
          </w:tcPr>
          <w:p w14:paraId="73F44AF7" w14:textId="031D5B46" w:rsidR="00D23C49" w:rsidRPr="00433DEB" w:rsidRDefault="00D23C49" w:rsidP="005C4A54">
            <w:r w:rsidRPr="00433DEB">
              <w:t>1957</w:t>
            </w:r>
            <w:r>
              <w:t>—2019</w:t>
            </w:r>
          </w:p>
        </w:tc>
      </w:tr>
      <w:tr w:rsidR="00D23C49" w:rsidRPr="00433DEB" w14:paraId="0277353A" w14:textId="77777777" w:rsidTr="00D23C49">
        <w:tc>
          <w:tcPr>
            <w:tcW w:w="1180" w:type="dxa"/>
          </w:tcPr>
          <w:p w14:paraId="218E4E25" w14:textId="77777777" w:rsidR="00D23C49" w:rsidRPr="00433DEB" w:rsidRDefault="00D23C49" w:rsidP="005C4A54">
            <w:r w:rsidRPr="00433DEB">
              <w:t>IBRD</w:t>
            </w:r>
          </w:p>
        </w:tc>
        <w:tc>
          <w:tcPr>
            <w:tcW w:w="975" w:type="dxa"/>
          </w:tcPr>
          <w:p w14:paraId="6B58A420" w14:textId="77777777" w:rsidR="00D23C49" w:rsidRPr="00433DEB" w:rsidRDefault="00D23C49" w:rsidP="005C4A54">
            <w:r w:rsidRPr="00433DEB">
              <w:t>2400</w:t>
            </w:r>
          </w:p>
        </w:tc>
        <w:tc>
          <w:tcPr>
            <w:tcW w:w="2340" w:type="dxa"/>
          </w:tcPr>
          <w:p w14:paraId="429D52CA" w14:textId="1843380A" w:rsidR="00D23C49" w:rsidRPr="00433DEB" w:rsidRDefault="00D23C49" w:rsidP="005C4A54">
            <w:r w:rsidRPr="00433DEB">
              <w:t>1950</w:t>
            </w:r>
            <w:r>
              <w:t>—2019</w:t>
            </w:r>
          </w:p>
        </w:tc>
      </w:tr>
      <w:tr w:rsidR="00D23C49" w:rsidRPr="00433DEB" w14:paraId="7449A9C3" w14:textId="77777777" w:rsidTr="00D23C49">
        <w:tc>
          <w:tcPr>
            <w:tcW w:w="1180" w:type="dxa"/>
          </w:tcPr>
          <w:p w14:paraId="3241A15A" w14:textId="77777777" w:rsidR="00D23C49" w:rsidRPr="00433DEB" w:rsidRDefault="00D23C49" w:rsidP="005C4A54">
            <w:r w:rsidRPr="00433DEB">
              <w:t>ICAO</w:t>
            </w:r>
          </w:p>
        </w:tc>
        <w:tc>
          <w:tcPr>
            <w:tcW w:w="975" w:type="dxa"/>
          </w:tcPr>
          <w:p w14:paraId="1AD7C4C7" w14:textId="77777777" w:rsidR="00D23C49" w:rsidRPr="00433DEB" w:rsidRDefault="00D23C49" w:rsidP="005C4A54">
            <w:r w:rsidRPr="00433DEB">
              <w:t>2500</w:t>
            </w:r>
          </w:p>
        </w:tc>
        <w:tc>
          <w:tcPr>
            <w:tcW w:w="2340" w:type="dxa"/>
          </w:tcPr>
          <w:p w14:paraId="62A4D0EB" w14:textId="0EC84E24" w:rsidR="00D23C49" w:rsidRPr="00433DEB" w:rsidRDefault="00D23C49" w:rsidP="005C4A54">
            <w:r w:rsidRPr="00433DEB">
              <w:t>1950</w:t>
            </w:r>
            <w:r>
              <w:t>—2019</w:t>
            </w:r>
          </w:p>
        </w:tc>
      </w:tr>
      <w:tr w:rsidR="00D23C49" w:rsidRPr="00433DEB" w14:paraId="537F5603" w14:textId="77777777" w:rsidTr="00D23C49">
        <w:tc>
          <w:tcPr>
            <w:tcW w:w="1180" w:type="dxa"/>
          </w:tcPr>
          <w:p w14:paraId="4902931A" w14:textId="77777777" w:rsidR="00D23C49" w:rsidRPr="00433DEB" w:rsidRDefault="00D23C49" w:rsidP="005C4A54">
            <w:r w:rsidRPr="00433DEB">
              <w:t>ICC</w:t>
            </w:r>
          </w:p>
        </w:tc>
        <w:tc>
          <w:tcPr>
            <w:tcW w:w="975" w:type="dxa"/>
          </w:tcPr>
          <w:p w14:paraId="02D230A1" w14:textId="77777777" w:rsidR="00D23C49" w:rsidRPr="00433DEB" w:rsidRDefault="00D23C49" w:rsidP="005C4A54">
            <w:r w:rsidRPr="00433DEB">
              <w:t>2702</w:t>
            </w:r>
          </w:p>
        </w:tc>
        <w:tc>
          <w:tcPr>
            <w:tcW w:w="2340" w:type="dxa"/>
          </w:tcPr>
          <w:p w14:paraId="54A03E58" w14:textId="356A79CB" w:rsidR="00D23C49" w:rsidRPr="00433DEB" w:rsidRDefault="00D23C49" w:rsidP="005C4A54">
            <w:r w:rsidRPr="00433DEB">
              <w:t>2002</w:t>
            </w:r>
            <w:r>
              <w:t>—2019</w:t>
            </w:r>
          </w:p>
        </w:tc>
      </w:tr>
      <w:tr w:rsidR="00D23C49" w:rsidRPr="00433DEB" w14:paraId="1F998CB7" w14:textId="77777777" w:rsidTr="00D23C49">
        <w:tc>
          <w:tcPr>
            <w:tcW w:w="1180" w:type="dxa"/>
          </w:tcPr>
          <w:p w14:paraId="57138083" w14:textId="77777777" w:rsidR="00D23C49" w:rsidRPr="00433DEB" w:rsidRDefault="00D23C49" w:rsidP="005C4A54">
            <w:r w:rsidRPr="00433DEB">
              <w:t>IGAD</w:t>
            </w:r>
          </w:p>
        </w:tc>
        <w:tc>
          <w:tcPr>
            <w:tcW w:w="975" w:type="dxa"/>
          </w:tcPr>
          <w:p w14:paraId="2236101C" w14:textId="77777777" w:rsidR="00D23C49" w:rsidRPr="00433DEB" w:rsidRDefault="00D23C49" w:rsidP="005C4A54">
            <w:r w:rsidRPr="00433DEB">
              <w:t>2230</w:t>
            </w:r>
          </w:p>
        </w:tc>
        <w:tc>
          <w:tcPr>
            <w:tcW w:w="2340" w:type="dxa"/>
          </w:tcPr>
          <w:p w14:paraId="0F14D8F1" w14:textId="50CF3BDC" w:rsidR="00D23C49" w:rsidRPr="00433DEB" w:rsidRDefault="00D23C49" w:rsidP="005C4A54">
            <w:r w:rsidRPr="00433DEB">
              <w:t>1986</w:t>
            </w:r>
            <w:r>
              <w:t>—2019</w:t>
            </w:r>
          </w:p>
        </w:tc>
      </w:tr>
      <w:tr w:rsidR="00D23C49" w:rsidRPr="00433DEB" w14:paraId="7D8874CD" w14:textId="77777777" w:rsidTr="00D23C49">
        <w:tc>
          <w:tcPr>
            <w:tcW w:w="1180" w:type="dxa"/>
          </w:tcPr>
          <w:p w14:paraId="60B80758" w14:textId="77777777" w:rsidR="00D23C49" w:rsidRPr="00433DEB" w:rsidRDefault="00D23C49" w:rsidP="005C4A54">
            <w:r w:rsidRPr="00433DEB">
              <w:t>ILO</w:t>
            </w:r>
          </w:p>
        </w:tc>
        <w:tc>
          <w:tcPr>
            <w:tcW w:w="975" w:type="dxa"/>
          </w:tcPr>
          <w:p w14:paraId="0EFEA406" w14:textId="77777777" w:rsidR="00D23C49" w:rsidRPr="00433DEB" w:rsidRDefault="00D23C49" w:rsidP="005C4A54">
            <w:r w:rsidRPr="00433DEB">
              <w:t>2830</w:t>
            </w:r>
          </w:p>
        </w:tc>
        <w:tc>
          <w:tcPr>
            <w:tcW w:w="2340" w:type="dxa"/>
          </w:tcPr>
          <w:p w14:paraId="59E7209E" w14:textId="39383BF7" w:rsidR="00D23C49" w:rsidRPr="00433DEB" w:rsidRDefault="00D23C49" w:rsidP="005C4A54">
            <w:r w:rsidRPr="00433DEB">
              <w:t>1950</w:t>
            </w:r>
            <w:r>
              <w:t>—2019</w:t>
            </w:r>
          </w:p>
        </w:tc>
      </w:tr>
      <w:tr w:rsidR="00D23C49" w:rsidRPr="00433DEB" w14:paraId="3D3545DD" w14:textId="77777777" w:rsidTr="00D23C49">
        <w:tc>
          <w:tcPr>
            <w:tcW w:w="1180" w:type="dxa"/>
          </w:tcPr>
          <w:p w14:paraId="76F5DC99" w14:textId="77777777" w:rsidR="00D23C49" w:rsidRPr="00433DEB" w:rsidRDefault="00D23C49" w:rsidP="005C4A54">
            <w:r w:rsidRPr="00433DEB">
              <w:t>IMF</w:t>
            </w:r>
          </w:p>
        </w:tc>
        <w:tc>
          <w:tcPr>
            <w:tcW w:w="975" w:type="dxa"/>
          </w:tcPr>
          <w:p w14:paraId="511CCACC" w14:textId="77777777" w:rsidR="00D23C49" w:rsidRPr="00433DEB" w:rsidRDefault="00D23C49" w:rsidP="005C4A54">
            <w:r w:rsidRPr="00433DEB">
              <w:t>2880</w:t>
            </w:r>
          </w:p>
        </w:tc>
        <w:tc>
          <w:tcPr>
            <w:tcW w:w="2340" w:type="dxa"/>
          </w:tcPr>
          <w:p w14:paraId="589CDFA1" w14:textId="3D6152CA" w:rsidR="00D23C49" w:rsidRPr="00433DEB" w:rsidRDefault="00D23C49" w:rsidP="005C4A54">
            <w:r w:rsidRPr="00433DEB">
              <w:t>1950</w:t>
            </w:r>
            <w:r>
              <w:t>—2019</w:t>
            </w:r>
          </w:p>
        </w:tc>
      </w:tr>
      <w:tr w:rsidR="00D23C49" w:rsidRPr="00433DEB" w14:paraId="194E7945" w14:textId="77777777" w:rsidTr="00D23C49">
        <w:tc>
          <w:tcPr>
            <w:tcW w:w="1180" w:type="dxa"/>
          </w:tcPr>
          <w:p w14:paraId="3FC60933" w14:textId="77777777" w:rsidR="00D23C49" w:rsidRPr="00433DEB" w:rsidRDefault="00D23C49" w:rsidP="005C4A54">
            <w:r w:rsidRPr="00433DEB">
              <w:t>IMO</w:t>
            </w:r>
          </w:p>
        </w:tc>
        <w:tc>
          <w:tcPr>
            <w:tcW w:w="975" w:type="dxa"/>
          </w:tcPr>
          <w:p w14:paraId="2B5BC22B" w14:textId="77777777" w:rsidR="00D23C49" w:rsidRPr="00433DEB" w:rsidRDefault="00D23C49" w:rsidP="005C4A54">
            <w:r w:rsidRPr="00433DEB">
              <w:t>2860</w:t>
            </w:r>
          </w:p>
        </w:tc>
        <w:tc>
          <w:tcPr>
            <w:tcW w:w="2340" w:type="dxa"/>
          </w:tcPr>
          <w:p w14:paraId="7A34C0E3" w14:textId="401E6F53" w:rsidR="00D23C49" w:rsidRPr="00433DEB" w:rsidRDefault="00D23C49" w:rsidP="005C4A54">
            <w:r w:rsidRPr="00433DEB">
              <w:t>1960</w:t>
            </w:r>
            <w:r>
              <w:t>—2019</w:t>
            </w:r>
          </w:p>
        </w:tc>
      </w:tr>
      <w:tr w:rsidR="00D23C49" w:rsidRPr="00433DEB" w14:paraId="1E272272" w14:textId="77777777" w:rsidTr="00D23C49">
        <w:tc>
          <w:tcPr>
            <w:tcW w:w="1180" w:type="dxa"/>
          </w:tcPr>
          <w:p w14:paraId="728F0A67" w14:textId="77777777" w:rsidR="00D23C49" w:rsidRPr="00433DEB" w:rsidRDefault="00D23C49" w:rsidP="005C4A54">
            <w:r w:rsidRPr="00433DEB">
              <w:t>IOM</w:t>
            </w:r>
          </w:p>
        </w:tc>
        <w:tc>
          <w:tcPr>
            <w:tcW w:w="975" w:type="dxa"/>
          </w:tcPr>
          <w:p w14:paraId="748F166A" w14:textId="77777777" w:rsidR="00D23C49" w:rsidRPr="00433DEB" w:rsidRDefault="00D23C49" w:rsidP="005C4A54">
            <w:r w:rsidRPr="00433DEB">
              <w:t>2250</w:t>
            </w:r>
          </w:p>
        </w:tc>
        <w:tc>
          <w:tcPr>
            <w:tcW w:w="2340" w:type="dxa"/>
          </w:tcPr>
          <w:p w14:paraId="305BCA3C" w14:textId="6AA193FF" w:rsidR="00D23C49" w:rsidRPr="00433DEB" w:rsidRDefault="00D23C49" w:rsidP="005C4A54">
            <w:r w:rsidRPr="00433DEB">
              <w:t>1955</w:t>
            </w:r>
            <w:r>
              <w:t>—2019</w:t>
            </w:r>
          </w:p>
        </w:tc>
      </w:tr>
      <w:tr w:rsidR="00D23C49" w:rsidRPr="00433DEB" w14:paraId="3187E18F" w14:textId="77777777" w:rsidTr="00D23C49">
        <w:tc>
          <w:tcPr>
            <w:tcW w:w="1180" w:type="dxa"/>
          </w:tcPr>
          <w:p w14:paraId="5E613C37" w14:textId="77777777" w:rsidR="00D23C49" w:rsidRPr="00433DEB" w:rsidRDefault="00D23C49" w:rsidP="005C4A54">
            <w:r w:rsidRPr="00433DEB">
              <w:t>ISA</w:t>
            </w:r>
          </w:p>
        </w:tc>
        <w:tc>
          <w:tcPr>
            <w:tcW w:w="975" w:type="dxa"/>
          </w:tcPr>
          <w:p w14:paraId="534FEAC9" w14:textId="77777777" w:rsidR="00D23C49" w:rsidRPr="00433DEB" w:rsidRDefault="00D23C49" w:rsidP="005C4A54">
            <w:r w:rsidRPr="00433DEB">
              <w:t>3100</w:t>
            </w:r>
          </w:p>
        </w:tc>
        <w:tc>
          <w:tcPr>
            <w:tcW w:w="2340" w:type="dxa"/>
          </w:tcPr>
          <w:p w14:paraId="3BEF14EF" w14:textId="53B79D77" w:rsidR="00D23C49" w:rsidRPr="00433DEB" w:rsidRDefault="00D23C49" w:rsidP="005C4A54">
            <w:r w:rsidRPr="00433DEB">
              <w:t>1994</w:t>
            </w:r>
            <w:r>
              <w:t>—2019</w:t>
            </w:r>
          </w:p>
        </w:tc>
      </w:tr>
      <w:tr w:rsidR="00D23C49" w:rsidRPr="00433DEB" w14:paraId="3743B6B2" w14:textId="77777777" w:rsidTr="00D23C49">
        <w:tc>
          <w:tcPr>
            <w:tcW w:w="1180" w:type="dxa"/>
          </w:tcPr>
          <w:p w14:paraId="44E50876" w14:textId="77777777" w:rsidR="00D23C49" w:rsidRPr="00433DEB" w:rsidRDefault="00D23C49" w:rsidP="005C4A54">
            <w:r w:rsidRPr="00433DEB">
              <w:t>ITU</w:t>
            </w:r>
          </w:p>
        </w:tc>
        <w:tc>
          <w:tcPr>
            <w:tcW w:w="975" w:type="dxa"/>
          </w:tcPr>
          <w:p w14:paraId="218264B8" w14:textId="77777777" w:rsidR="00D23C49" w:rsidRPr="00433DEB" w:rsidRDefault="00D23C49" w:rsidP="005C4A54">
            <w:r w:rsidRPr="00433DEB">
              <w:t>3160</w:t>
            </w:r>
          </w:p>
        </w:tc>
        <w:tc>
          <w:tcPr>
            <w:tcW w:w="2340" w:type="dxa"/>
          </w:tcPr>
          <w:p w14:paraId="225EB61F" w14:textId="4620B36D" w:rsidR="00D23C49" w:rsidRPr="00433DEB" w:rsidRDefault="00D23C49" w:rsidP="005C4A54">
            <w:r w:rsidRPr="00433DEB">
              <w:t>1950</w:t>
            </w:r>
            <w:r>
              <w:t>—2019</w:t>
            </w:r>
          </w:p>
        </w:tc>
      </w:tr>
      <w:tr w:rsidR="00D23C49" w:rsidRPr="00433DEB" w14:paraId="700C9E79" w14:textId="77777777" w:rsidTr="00D23C49">
        <w:tc>
          <w:tcPr>
            <w:tcW w:w="1180" w:type="dxa"/>
          </w:tcPr>
          <w:p w14:paraId="3BC48A6E" w14:textId="77777777" w:rsidR="00D23C49" w:rsidRPr="00433DEB" w:rsidRDefault="00D23C49" w:rsidP="005C4A54">
            <w:r w:rsidRPr="00433DEB">
              <w:t>IWhale</w:t>
            </w:r>
          </w:p>
        </w:tc>
        <w:tc>
          <w:tcPr>
            <w:tcW w:w="975" w:type="dxa"/>
          </w:tcPr>
          <w:p w14:paraId="7DFF6789" w14:textId="77777777" w:rsidR="00D23C49" w:rsidRPr="00433DEB" w:rsidRDefault="00D23C49" w:rsidP="005C4A54">
            <w:r w:rsidRPr="00433DEB">
              <w:t>3250</w:t>
            </w:r>
          </w:p>
        </w:tc>
        <w:tc>
          <w:tcPr>
            <w:tcW w:w="2340" w:type="dxa"/>
          </w:tcPr>
          <w:p w14:paraId="4A340135" w14:textId="6F90243A" w:rsidR="00D23C49" w:rsidRPr="00433DEB" w:rsidRDefault="00D23C49" w:rsidP="005C4A54">
            <w:r w:rsidRPr="00433DEB">
              <w:t>1950</w:t>
            </w:r>
            <w:r>
              <w:t>—2019</w:t>
            </w:r>
          </w:p>
        </w:tc>
      </w:tr>
      <w:tr w:rsidR="00D23C49" w:rsidRPr="00433DEB" w14:paraId="09B15A95" w14:textId="77777777" w:rsidTr="00D23C49">
        <w:tc>
          <w:tcPr>
            <w:tcW w:w="1180" w:type="dxa"/>
          </w:tcPr>
          <w:p w14:paraId="2F2872E2" w14:textId="77777777" w:rsidR="00D23C49" w:rsidRPr="00433DEB" w:rsidRDefault="00D23C49" w:rsidP="005C4A54">
            <w:r w:rsidRPr="00433DEB">
              <w:t>Interpol</w:t>
            </w:r>
          </w:p>
        </w:tc>
        <w:tc>
          <w:tcPr>
            <w:tcW w:w="975" w:type="dxa"/>
          </w:tcPr>
          <w:p w14:paraId="3DCC035F" w14:textId="77777777" w:rsidR="00D23C49" w:rsidRPr="00433DEB" w:rsidRDefault="00D23C49" w:rsidP="005C4A54">
            <w:r w:rsidRPr="00433DEB">
              <w:t>2700</w:t>
            </w:r>
          </w:p>
        </w:tc>
        <w:tc>
          <w:tcPr>
            <w:tcW w:w="2340" w:type="dxa"/>
          </w:tcPr>
          <w:p w14:paraId="56AA20FD" w14:textId="07CAB7CA" w:rsidR="00D23C49" w:rsidRPr="00433DEB" w:rsidRDefault="00D23C49" w:rsidP="005C4A54">
            <w:r w:rsidRPr="00433DEB">
              <w:t>1950</w:t>
            </w:r>
            <w:r>
              <w:t>—2019</w:t>
            </w:r>
          </w:p>
        </w:tc>
      </w:tr>
      <w:tr w:rsidR="00D23C49" w:rsidRPr="00433DEB" w14:paraId="0C570B43" w14:textId="77777777" w:rsidTr="00D23C49">
        <w:tc>
          <w:tcPr>
            <w:tcW w:w="1180" w:type="dxa"/>
          </w:tcPr>
          <w:p w14:paraId="73ECBCE6" w14:textId="77777777" w:rsidR="00D23C49" w:rsidRPr="00433DEB" w:rsidRDefault="00D23C49" w:rsidP="005C4A54">
            <w:r w:rsidRPr="00433DEB">
              <w:t>LOAS</w:t>
            </w:r>
          </w:p>
        </w:tc>
        <w:tc>
          <w:tcPr>
            <w:tcW w:w="975" w:type="dxa"/>
          </w:tcPr>
          <w:p w14:paraId="5C17BB4A" w14:textId="77777777" w:rsidR="00D23C49" w:rsidRPr="00433DEB" w:rsidRDefault="00D23C49" w:rsidP="005C4A54">
            <w:r w:rsidRPr="00433DEB">
              <w:t>3450</w:t>
            </w:r>
          </w:p>
        </w:tc>
        <w:tc>
          <w:tcPr>
            <w:tcW w:w="2340" w:type="dxa"/>
          </w:tcPr>
          <w:p w14:paraId="1578E9EA" w14:textId="6491CB5C" w:rsidR="00D23C49" w:rsidRPr="00433DEB" w:rsidRDefault="00D23C49" w:rsidP="005C4A54">
            <w:r w:rsidRPr="00433DEB">
              <w:t>1950</w:t>
            </w:r>
            <w:r>
              <w:t>—2019</w:t>
            </w:r>
          </w:p>
        </w:tc>
      </w:tr>
      <w:tr w:rsidR="00D23C49" w:rsidRPr="00433DEB" w14:paraId="4B2DD44B" w14:textId="77777777" w:rsidTr="00D23C49">
        <w:tc>
          <w:tcPr>
            <w:tcW w:w="1180" w:type="dxa"/>
          </w:tcPr>
          <w:p w14:paraId="0257BDCB" w14:textId="77777777" w:rsidR="00D23C49" w:rsidRPr="00433DEB" w:rsidRDefault="00D23C49" w:rsidP="005C4A54">
            <w:r w:rsidRPr="00433DEB">
              <w:t>Mercosur</w:t>
            </w:r>
          </w:p>
        </w:tc>
        <w:tc>
          <w:tcPr>
            <w:tcW w:w="975" w:type="dxa"/>
          </w:tcPr>
          <w:p w14:paraId="7B18CDEA" w14:textId="77777777" w:rsidR="00D23C49" w:rsidRPr="00433DEB" w:rsidRDefault="00D23C49" w:rsidP="005C4A54">
            <w:r w:rsidRPr="00433DEB">
              <w:t>4260</w:t>
            </w:r>
          </w:p>
        </w:tc>
        <w:tc>
          <w:tcPr>
            <w:tcW w:w="2340" w:type="dxa"/>
          </w:tcPr>
          <w:p w14:paraId="01A07A8E" w14:textId="483368A1" w:rsidR="00D23C49" w:rsidRPr="00433DEB" w:rsidRDefault="00D23C49" w:rsidP="005C4A54">
            <w:r w:rsidRPr="00433DEB">
              <w:t>1991</w:t>
            </w:r>
            <w:r>
              <w:t>—2019</w:t>
            </w:r>
          </w:p>
        </w:tc>
      </w:tr>
      <w:tr w:rsidR="00D23C49" w:rsidRPr="00433DEB" w14:paraId="66FC1F39" w14:textId="77777777" w:rsidTr="00D23C49">
        <w:tc>
          <w:tcPr>
            <w:tcW w:w="1180" w:type="dxa"/>
          </w:tcPr>
          <w:p w14:paraId="38361619" w14:textId="77777777" w:rsidR="00D23C49" w:rsidRPr="00433DEB" w:rsidRDefault="00D23C49" w:rsidP="005C4A54">
            <w:r w:rsidRPr="00433DEB">
              <w:t>NAFO</w:t>
            </w:r>
          </w:p>
        </w:tc>
        <w:tc>
          <w:tcPr>
            <w:tcW w:w="975" w:type="dxa"/>
          </w:tcPr>
          <w:p w14:paraId="0DFA974D" w14:textId="77777777" w:rsidR="00D23C49" w:rsidRPr="00433DEB" w:rsidRDefault="00D23C49" w:rsidP="005C4A54">
            <w:r w:rsidRPr="00433DEB">
              <w:t>2572</w:t>
            </w:r>
          </w:p>
        </w:tc>
        <w:tc>
          <w:tcPr>
            <w:tcW w:w="2340" w:type="dxa"/>
          </w:tcPr>
          <w:p w14:paraId="618B0CC2" w14:textId="7741CB04" w:rsidR="00D23C49" w:rsidRPr="00433DEB" w:rsidRDefault="00D23C49" w:rsidP="005C4A54">
            <w:r w:rsidRPr="00433DEB">
              <w:t>1979</w:t>
            </w:r>
            <w:r>
              <w:t>—2019</w:t>
            </w:r>
          </w:p>
        </w:tc>
      </w:tr>
      <w:tr w:rsidR="00D23C49" w:rsidRPr="00433DEB" w14:paraId="1C1DB5BA" w14:textId="77777777" w:rsidTr="00D23C49">
        <w:tc>
          <w:tcPr>
            <w:tcW w:w="1180" w:type="dxa"/>
          </w:tcPr>
          <w:p w14:paraId="7146AE36" w14:textId="77777777" w:rsidR="00D23C49" w:rsidRPr="00433DEB" w:rsidRDefault="00D23C49" w:rsidP="005C4A54">
            <w:r w:rsidRPr="00433DEB">
              <w:lastRenderedPageBreak/>
              <w:t>NAFTA</w:t>
            </w:r>
          </w:p>
        </w:tc>
        <w:tc>
          <w:tcPr>
            <w:tcW w:w="975" w:type="dxa"/>
          </w:tcPr>
          <w:p w14:paraId="3F964C06" w14:textId="77777777" w:rsidR="00D23C49" w:rsidRPr="00433DEB" w:rsidRDefault="00D23C49" w:rsidP="005C4A54">
            <w:r w:rsidRPr="00433DEB">
              <w:t>3670</w:t>
            </w:r>
          </w:p>
        </w:tc>
        <w:tc>
          <w:tcPr>
            <w:tcW w:w="2340" w:type="dxa"/>
          </w:tcPr>
          <w:p w14:paraId="03EF4625" w14:textId="32165330" w:rsidR="00D23C49" w:rsidRPr="00433DEB" w:rsidRDefault="00D23C49" w:rsidP="005C4A54">
            <w:r w:rsidRPr="00433DEB">
              <w:t>1994</w:t>
            </w:r>
            <w:r>
              <w:t>—2019</w:t>
            </w:r>
          </w:p>
        </w:tc>
      </w:tr>
      <w:tr w:rsidR="00D23C49" w:rsidRPr="00433DEB" w14:paraId="3B970745" w14:textId="77777777" w:rsidTr="00D23C49">
        <w:tc>
          <w:tcPr>
            <w:tcW w:w="1180" w:type="dxa"/>
          </w:tcPr>
          <w:p w14:paraId="3AD1747E" w14:textId="77777777" w:rsidR="00D23C49" w:rsidRPr="00433DEB" w:rsidRDefault="00D23C49" w:rsidP="005C4A54">
            <w:r w:rsidRPr="00433DEB">
              <w:t>NATO</w:t>
            </w:r>
          </w:p>
        </w:tc>
        <w:tc>
          <w:tcPr>
            <w:tcW w:w="975" w:type="dxa"/>
          </w:tcPr>
          <w:p w14:paraId="106ECA09" w14:textId="77777777" w:rsidR="00D23C49" w:rsidRPr="00433DEB" w:rsidRDefault="00D23C49" w:rsidP="005C4A54">
            <w:r w:rsidRPr="00433DEB">
              <w:t>3700</w:t>
            </w:r>
          </w:p>
        </w:tc>
        <w:tc>
          <w:tcPr>
            <w:tcW w:w="2340" w:type="dxa"/>
          </w:tcPr>
          <w:p w14:paraId="054980F5" w14:textId="24222BDD" w:rsidR="00D23C49" w:rsidRPr="00433DEB" w:rsidRDefault="00D23C49" w:rsidP="005C4A54">
            <w:r w:rsidRPr="00433DEB">
              <w:t>1950</w:t>
            </w:r>
            <w:r>
              <w:t>—2019</w:t>
            </w:r>
          </w:p>
        </w:tc>
      </w:tr>
      <w:tr w:rsidR="00D23C49" w:rsidRPr="00433DEB" w14:paraId="28845864" w14:textId="77777777" w:rsidTr="00D23C49">
        <w:tc>
          <w:tcPr>
            <w:tcW w:w="1180" w:type="dxa"/>
          </w:tcPr>
          <w:p w14:paraId="2BFEBE9B" w14:textId="77777777" w:rsidR="00D23C49" w:rsidRPr="00433DEB" w:rsidRDefault="00D23C49" w:rsidP="005C4A54">
            <w:r w:rsidRPr="00433DEB">
              <w:t>NordC</w:t>
            </w:r>
          </w:p>
        </w:tc>
        <w:tc>
          <w:tcPr>
            <w:tcW w:w="975" w:type="dxa"/>
          </w:tcPr>
          <w:p w14:paraId="66E3004C" w14:textId="77777777" w:rsidR="00D23C49" w:rsidRPr="00433DEB" w:rsidRDefault="00D23C49" w:rsidP="005C4A54">
            <w:r w:rsidRPr="00433DEB">
              <w:t>3590</w:t>
            </w:r>
          </w:p>
        </w:tc>
        <w:tc>
          <w:tcPr>
            <w:tcW w:w="2340" w:type="dxa"/>
          </w:tcPr>
          <w:p w14:paraId="2D8F4218" w14:textId="4DF97E53" w:rsidR="00D23C49" w:rsidRPr="00433DEB" w:rsidRDefault="00D23C49" w:rsidP="005C4A54">
            <w:r w:rsidRPr="00433DEB">
              <w:t>1952</w:t>
            </w:r>
            <w:r>
              <w:t>—2019</w:t>
            </w:r>
          </w:p>
        </w:tc>
      </w:tr>
      <w:tr w:rsidR="00D23C49" w:rsidRPr="00433DEB" w14:paraId="0020413A" w14:textId="77777777" w:rsidTr="00D23C49">
        <w:tc>
          <w:tcPr>
            <w:tcW w:w="1180" w:type="dxa"/>
          </w:tcPr>
          <w:p w14:paraId="783FB37D" w14:textId="77777777" w:rsidR="00D23C49" w:rsidRPr="00433DEB" w:rsidRDefault="00D23C49" w:rsidP="005C4A54">
            <w:r w:rsidRPr="00433DEB">
              <w:t>OAPEC</w:t>
            </w:r>
          </w:p>
        </w:tc>
        <w:tc>
          <w:tcPr>
            <w:tcW w:w="975" w:type="dxa"/>
          </w:tcPr>
          <w:p w14:paraId="3ED5C755" w14:textId="77777777" w:rsidR="00D23C49" w:rsidRPr="00433DEB" w:rsidRDefault="00D23C49" w:rsidP="005C4A54">
            <w:r w:rsidRPr="00433DEB">
              <w:t>3800</w:t>
            </w:r>
          </w:p>
        </w:tc>
        <w:tc>
          <w:tcPr>
            <w:tcW w:w="2340" w:type="dxa"/>
          </w:tcPr>
          <w:p w14:paraId="2A4CEAB6" w14:textId="7770031A" w:rsidR="00D23C49" w:rsidRPr="00433DEB" w:rsidRDefault="00D23C49" w:rsidP="005C4A54">
            <w:r w:rsidRPr="00433DEB">
              <w:t>1968</w:t>
            </w:r>
            <w:r>
              <w:t>—2019</w:t>
            </w:r>
          </w:p>
        </w:tc>
      </w:tr>
      <w:tr w:rsidR="00D23C49" w:rsidRPr="00433DEB" w14:paraId="32555D2C" w14:textId="77777777" w:rsidTr="00D23C49">
        <w:tc>
          <w:tcPr>
            <w:tcW w:w="1180" w:type="dxa"/>
          </w:tcPr>
          <w:p w14:paraId="7072FC86" w14:textId="77777777" w:rsidR="00D23C49" w:rsidRPr="00433DEB" w:rsidRDefault="00D23C49" w:rsidP="005C4A54">
            <w:r w:rsidRPr="00433DEB">
              <w:t>OAS</w:t>
            </w:r>
          </w:p>
        </w:tc>
        <w:tc>
          <w:tcPr>
            <w:tcW w:w="975" w:type="dxa"/>
          </w:tcPr>
          <w:p w14:paraId="064E9234" w14:textId="77777777" w:rsidR="00D23C49" w:rsidRPr="00433DEB" w:rsidRDefault="00D23C49" w:rsidP="005C4A54">
            <w:r w:rsidRPr="00433DEB">
              <w:t>3900</w:t>
            </w:r>
          </w:p>
        </w:tc>
        <w:tc>
          <w:tcPr>
            <w:tcW w:w="2340" w:type="dxa"/>
          </w:tcPr>
          <w:p w14:paraId="0F4B7796" w14:textId="1F33EB31" w:rsidR="00D23C49" w:rsidRPr="00433DEB" w:rsidRDefault="00D23C49" w:rsidP="005C4A54">
            <w:r w:rsidRPr="00433DEB">
              <w:t>1951</w:t>
            </w:r>
            <w:r>
              <w:t>—2019</w:t>
            </w:r>
          </w:p>
        </w:tc>
      </w:tr>
      <w:tr w:rsidR="00D23C49" w:rsidRPr="00433DEB" w14:paraId="79801057" w14:textId="77777777" w:rsidTr="00D23C49">
        <w:tc>
          <w:tcPr>
            <w:tcW w:w="1180" w:type="dxa"/>
          </w:tcPr>
          <w:p w14:paraId="0FE42805" w14:textId="77777777" w:rsidR="00D23C49" w:rsidRPr="00433DEB" w:rsidRDefault="00D23C49" w:rsidP="005C4A54">
            <w:r w:rsidRPr="00433DEB">
              <w:t>OECD</w:t>
            </w:r>
          </w:p>
        </w:tc>
        <w:tc>
          <w:tcPr>
            <w:tcW w:w="975" w:type="dxa"/>
          </w:tcPr>
          <w:p w14:paraId="3EE002C9" w14:textId="77777777" w:rsidR="00D23C49" w:rsidRPr="00433DEB" w:rsidRDefault="00D23C49" w:rsidP="005C4A54">
            <w:r w:rsidRPr="00433DEB">
              <w:t>3750</w:t>
            </w:r>
          </w:p>
        </w:tc>
        <w:tc>
          <w:tcPr>
            <w:tcW w:w="2340" w:type="dxa"/>
          </w:tcPr>
          <w:p w14:paraId="32D7B0FD" w14:textId="25D27C43" w:rsidR="00D23C49" w:rsidRPr="00433DEB" w:rsidRDefault="00D23C49" w:rsidP="005C4A54">
            <w:r w:rsidRPr="00433DEB">
              <w:t>1950</w:t>
            </w:r>
            <w:r>
              <w:t>—2019</w:t>
            </w:r>
          </w:p>
        </w:tc>
      </w:tr>
      <w:tr w:rsidR="00D23C49" w:rsidRPr="00433DEB" w14:paraId="6E982A93" w14:textId="77777777" w:rsidTr="00D23C49">
        <w:tc>
          <w:tcPr>
            <w:tcW w:w="1180" w:type="dxa"/>
          </w:tcPr>
          <w:p w14:paraId="40FFC4D4" w14:textId="77777777" w:rsidR="00D23C49" w:rsidRPr="00433DEB" w:rsidRDefault="00D23C49" w:rsidP="005C4A54">
            <w:r w:rsidRPr="00433DEB">
              <w:t>OECS</w:t>
            </w:r>
          </w:p>
        </w:tc>
        <w:tc>
          <w:tcPr>
            <w:tcW w:w="975" w:type="dxa"/>
          </w:tcPr>
          <w:p w14:paraId="2F2ED029" w14:textId="77777777" w:rsidR="00D23C49" w:rsidRPr="00433DEB" w:rsidRDefault="00D23C49" w:rsidP="005C4A54">
            <w:r w:rsidRPr="00433DEB">
              <w:t>3830</w:t>
            </w:r>
          </w:p>
        </w:tc>
        <w:tc>
          <w:tcPr>
            <w:tcW w:w="2340" w:type="dxa"/>
          </w:tcPr>
          <w:p w14:paraId="31F471E3" w14:textId="16F5D86E" w:rsidR="00D23C49" w:rsidRPr="00433DEB" w:rsidRDefault="00D23C49" w:rsidP="005C4A54">
            <w:r w:rsidRPr="00433DEB">
              <w:t>1968</w:t>
            </w:r>
            <w:r>
              <w:t>—2019</w:t>
            </w:r>
          </w:p>
        </w:tc>
      </w:tr>
      <w:tr w:rsidR="00D23C49" w:rsidRPr="00433DEB" w14:paraId="05C527A4" w14:textId="77777777" w:rsidTr="00D23C49">
        <w:tc>
          <w:tcPr>
            <w:tcW w:w="1180" w:type="dxa"/>
          </w:tcPr>
          <w:p w14:paraId="5EA64735" w14:textId="77777777" w:rsidR="00D23C49" w:rsidRPr="00433DEB" w:rsidRDefault="00D23C49" w:rsidP="005C4A54">
            <w:r w:rsidRPr="00433DEB">
              <w:t>OIC</w:t>
            </w:r>
          </w:p>
        </w:tc>
        <w:tc>
          <w:tcPr>
            <w:tcW w:w="975" w:type="dxa"/>
          </w:tcPr>
          <w:p w14:paraId="2C069532" w14:textId="77777777" w:rsidR="00D23C49" w:rsidRPr="00433DEB" w:rsidRDefault="00D23C49" w:rsidP="005C4A54">
            <w:r w:rsidRPr="00433DEB">
              <w:t>3850</w:t>
            </w:r>
          </w:p>
        </w:tc>
        <w:tc>
          <w:tcPr>
            <w:tcW w:w="2340" w:type="dxa"/>
          </w:tcPr>
          <w:p w14:paraId="139669F2" w14:textId="707CAF60" w:rsidR="00D23C49" w:rsidRPr="00433DEB" w:rsidRDefault="00D23C49" w:rsidP="005C4A54">
            <w:r w:rsidRPr="00433DEB">
              <w:t>1970</w:t>
            </w:r>
            <w:r>
              <w:t>—2019</w:t>
            </w:r>
          </w:p>
        </w:tc>
      </w:tr>
      <w:tr w:rsidR="00D23C49" w:rsidRPr="00433DEB" w14:paraId="7B5D77B9" w14:textId="77777777" w:rsidTr="00D23C49">
        <w:tc>
          <w:tcPr>
            <w:tcW w:w="1180" w:type="dxa"/>
          </w:tcPr>
          <w:p w14:paraId="778E67DC" w14:textId="77777777" w:rsidR="00D23C49" w:rsidRPr="00433DEB" w:rsidRDefault="00D23C49" w:rsidP="005C4A54">
            <w:r w:rsidRPr="00433DEB">
              <w:t>OIF</w:t>
            </w:r>
          </w:p>
        </w:tc>
        <w:tc>
          <w:tcPr>
            <w:tcW w:w="975" w:type="dxa"/>
          </w:tcPr>
          <w:p w14:paraId="2D336659" w14:textId="77777777" w:rsidR="00D23C49" w:rsidRPr="00433DEB" w:rsidRDefault="00D23C49" w:rsidP="005C4A54">
            <w:r w:rsidRPr="00433DEB">
              <w:t>270</w:t>
            </w:r>
          </w:p>
        </w:tc>
        <w:tc>
          <w:tcPr>
            <w:tcW w:w="2340" w:type="dxa"/>
          </w:tcPr>
          <w:p w14:paraId="27EA2EE3" w14:textId="0A55365C" w:rsidR="00D23C49" w:rsidRPr="00433DEB" w:rsidRDefault="00D23C49" w:rsidP="005C4A54">
            <w:r w:rsidRPr="00433DEB">
              <w:t>1970</w:t>
            </w:r>
            <w:r>
              <w:t>—2019</w:t>
            </w:r>
          </w:p>
        </w:tc>
      </w:tr>
      <w:tr w:rsidR="00D23C49" w:rsidRPr="00433DEB" w14:paraId="3AD90EB4" w14:textId="77777777" w:rsidTr="00D23C49">
        <w:tc>
          <w:tcPr>
            <w:tcW w:w="1180" w:type="dxa"/>
          </w:tcPr>
          <w:p w14:paraId="4BC6E918" w14:textId="77777777" w:rsidR="00D23C49" w:rsidRPr="00433DEB" w:rsidRDefault="00D23C49" w:rsidP="005C4A54">
            <w:r w:rsidRPr="00433DEB">
              <w:t>OPEC</w:t>
            </w:r>
          </w:p>
        </w:tc>
        <w:tc>
          <w:tcPr>
            <w:tcW w:w="975" w:type="dxa"/>
          </w:tcPr>
          <w:p w14:paraId="28E92559" w14:textId="77777777" w:rsidR="00D23C49" w:rsidRPr="00433DEB" w:rsidRDefault="00D23C49" w:rsidP="005C4A54">
            <w:r w:rsidRPr="00433DEB">
              <w:t>3840</w:t>
            </w:r>
          </w:p>
        </w:tc>
        <w:tc>
          <w:tcPr>
            <w:tcW w:w="2340" w:type="dxa"/>
          </w:tcPr>
          <w:p w14:paraId="134A82D4" w14:textId="02131E33" w:rsidR="00D23C49" w:rsidRPr="00433DEB" w:rsidRDefault="00D23C49" w:rsidP="005C4A54">
            <w:r w:rsidRPr="00433DEB">
              <w:t>1960</w:t>
            </w:r>
            <w:r>
              <w:t>—2019</w:t>
            </w:r>
          </w:p>
        </w:tc>
      </w:tr>
      <w:tr w:rsidR="00D23C49" w:rsidRPr="00433DEB" w14:paraId="58FF6828" w14:textId="77777777" w:rsidTr="00D23C49">
        <w:tc>
          <w:tcPr>
            <w:tcW w:w="1180" w:type="dxa"/>
          </w:tcPr>
          <w:p w14:paraId="3415DF57" w14:textId="77777777" w:rsidR="00D23C49" w:rsidRPr="00433DEB" w:rsidRDefault="00D23C49" w:rsidP="005C4A54">
            <w:r w:rsidRPr="00433DEB">
              <w:t>OSCE</w:t>
            </w:r>
          </w:p>
        </w:tc>
        <w:tc>
          <w:tcPr>
            <w:tcW w:w="975" w:type="dxa"/>
          </w:tcPr>
          <w:p w14:paraId="4625DF2D" w14:textId="77777777" w:rsidR="00D23C49" w:rsidRPr="00433DEB" w:rsidRDefault="00D23C49" w:rsidP="005C4A54">
            <w:r w:rsidRPr="00433DEB">
              <w:t>3770</w:t>
            </w:r>
          </w:p>
        </w:tc>
        <w:tc>
          <w:tcPr>
            <w:tcW w:w="2340" w:type="dxa"/>
          </w:tcPr>
          <w:p w14:paraId="35EFA1A2" w14:textId="327A358A" w:rsidR="00D23C49" w:rsidRPr="00433DEB" w:rsidRDefault="00D23C49" w:rsidP="005C4A54">
            <w:r w:rsidRPr="00433DEB">
              <w:t>1973</w:t>
            </w:r>
            <w:r>
              <w:t>—2019</w:t>
            </w:r>
          </w:p>
        </w:tc>
      </w:tr>
      <w:tr w:rsidR="00D23C49" w:rsidRPr="00433DEB" w14:paraId="36BFCFBB" w14:textId="77777777" w:rsidTr="00D23C49">
        <w:tc>
          <w:tcPr>
            <w:tcW w:w="1180" w:type="dxa"/>
          </w:tcPr>
          <w:p w14:paraId="594BB4F9" w14:textId="77777777" w:rsidR="00D23C49" w:rsidRPr="00433DEB" w:rsidRDefault="00D23C49" w:rsidP="005C4A54">
            <w:r w:rsidRPr="00433DEB">
              <w:t>OTIF</w:t>
            </w:r>
          </w:p>
        </w:tc>
        <w:tc>
          <w:tcPr>
            <w:tcW w:w="975" w:type="dxa"/>
          </w:tcPr>
          <w:p w14:paraId="486AAA9E" w14:textId="77777777" w:rsidR="00D23C49" w:rsidRPr="00433DEB" w:rsidRDefault="00D23C49" w:rsidP="005C4A54">
            <w:r w:rsidRPr="00433DEB">
              <w:t>1090</w:t>
            </w:r>
          </w:p>
        </w:tc>
        <w:tc>
          <w:tcPr>
            <w:tcW w:w="2340" w:type="dxa"/>
          </w:tcPr>
          <w:p w14:paraId="3F205A65" w14:textId="1564ACA7" w:rsidR="00D23C49" w:rsidRPr="00433DEB" w:rsidRDefault="00D23C49" w:rsidP="005C4A54">
            <w:r w:rsidRPr="00433DEB">
              <w:t>1950</w:t>
            </w:r>
            <w:r>
              <w:t>—2019</w:t>
            </w:r>
          </w:p>
        </w:tc>
      </w:tr>
      <w:tr w:rsidR="00D23C49" w:rsidRPr="00433DEB" w14:paraId="06B5B1CE" w14:textId="77777777" w:rsidTr="00D23C49">
        <w:tc>
          <w:tcPr>
            <w:tcW w:w="1180" w:type="dxa"/>
          </w:tcPr>
          <w:p w14:paraId="77911039" w14:textId="77777777" w:rsidR="00D23C49" w:rsidRPr="00433DEB" w:rsidRDefault="00D23C49" w:rsidP="005C4A54">
            <w:r w:rsidRPr="00433DEB">
              <w:t>PCA</w:t>
            </w:r>
          </w:p>
        </w:tc>
        <w:tc>
          <w:tcPr>
            <w:tcW w:w="975" w:type="dxa"/>
          </w:tcPr>
          <w:p w14:paraId="13284C00" w14:textId="77777777" w:rsidR="00D23C49" w:rsidRPr="00433DEB" w:rsidRDefault="00D23C49" w:rsidP="005C4A54">
            <w:r w:rsidRPr="00433DEB">
              <w:t>3940</w:t>
            </w:r>
          </w:p>
        </w:tc>
        <w:tc>
          <w:tcPr>
            <w:tcW w:w="2340" w:type="dxa"/>
          </w:tcPr>
          <w:p w14:paraId="0BF8680E" w14:textId="52405204" w:rsidR="00D23C49" w:rsidRPr="00433DEB" w:rsidRDefault="00D23C49" w:rsidP="005C4A54">
            <w:r w:rsidRPr="00433DEB">
              <w:t>1950</w:t>
            </w:r>
            <w:r>
              <w:t>—2019</w:t>
            </w:r>
          </w:p>
        </w:tc>
      </w:tr>
      <w:tr w:rsidR="00D23C49" w:rsidRPr="00433DEB" w14:paraId="68EAE730" w14:textId="77777777" w:rsidTr="00D23C49">
        <w:tc>
          <w:tcPr>
            <w:tcW w:w="1180" w:type="dxa"/>
          </w:tcPr>
          <w:p w14:paraId="0372DB7F" w14:textId="77777777" w:rsidR="00D23C49" w:rsidRPr="00433DEB" w:rsidRDefault="00D23C49" w:rsidP="005C4A54">
            <w:r w:rsidRPr="00433DEB">
              <w:t>PIF</w:t>
            </w:r>
          </w:p>
        </w:tc>
        <w:tc>
          <w:tcPr>
            <w:tcW w:w="975" w:type="dxa"/>
          </w:tcPr>
          <w:p w14:paraId="685B3854" w14:textId="77777777" w:rsidR="00D23C49" w:rsidRPr="00433DEB" w:rsidRDefault="00D23C49" w:rsidP="005C4A54">
            <w:r w:rsidRPr="00433DEB">
              <w:t>4200</w:t>
            </w:r>
          </w:p>
        </w:tc>
        <w:tc>
          <w:tcPr>
            <w:tcW w:w="2340" w:type="dxa"/>
          </w:tcPr>
          <w:p w14:paraId="0E8CDA44" w14:textId="08974B02" w:rsidR="00D23C49" w:rsidRPr="00433DEB" w:rsidRDefault="00D23C49" w:rsidP="005C4A54">
            <w:r w:rsidRPr="00433DEB">
              <w:t>1973</w:t>
            </w:r>
            <w:r>
              <w:t>—2019</w:t>
            </w:r>
          </w:p>
        </w:tc>
      </w:tr>
      <w:tr w:rsidR="00D23C49" w:rsidRPr="00433DEB" w14:paraId="5173227E" w14:textId="77777777" w:rsidTr="00D23C49">
        <w:tc>
          <w:tcPr>
            <w:tcW w:w="1180" w:type="dxa"/>
          </w:tcPr>
          <w:p w14:paraId="16B41DD7" w14:textId="77777777" w:rsidR="00D23C49" w:rsidRPr="00433DEB" w:rsidRDefault="00D23C49" w:rsidP="005C4A54">
            <w:r w:rsidRPr="00433DEB">
              <w:t>SAARC</w:t>
            </w:r>
          </w:p>
        </w:tc>
        <w:tc>
          <w:tcPr>
            <w:tcW w:w="975" w:type="dxa"/>
          </w:tcPr>
          <w:p w14:paraId="16E98F2F" w14:textId="77777777" w:rsidR="00D23C49" w:rsidRPr="00433DEB" w:rsidRDefault="00D23C49" w:rsidP="005C4A54">
            <w:r w:rsidRPr="00433DEB">
              <w:t>4170</w:t>
            </w:r>
          </w:p>
        </w:tc>
        <w:tc>
          <w:tcPr>
            <w:tcW w:w="2340" w:type="dxa"/>
          </w:tcPr>
          <w:p w14:paraId="1926BBE5" w14:textId="2F254041" w:rsidR="00D23C49" w:rsidRPr="00433DEB" w:rsidRDefault="00D23C49" w:rsidP="005C4A54">
            <w:r w:rsidRPr="00433DEB">
              <w:t>1986</w:t>
            </w:r>
            <w:r>
              <w:t>—2019</w:t>
            </w:r>
          </w:p>
        </w:tc>
      </w:tr>
      <w:tr w:rsidR="00D23C49" w:rsidRPr="00433DEB" w14:paraId="337E2F9A" w14:textId="77777777" w:rsidTr="00D23C49">
        <w:tc>
          <w:tcPr>
            <w:tcW w:w="1180" w:type="dxa"/>
          </w:tcPr>
          <w:p w14:paraId="48FF1769" w14:textId="77777777" w:rsidR="00D23C49" w:rsidRPr="00433DEB" w:rsidRDefault="00D23C49" w:rsidP="005C4A54">
            <w:r w:rsidRPr="00433DEB">
              <w:t>SACU</w:t>
            </w:r>
          </w:p>
        </w:tc>
        <w:tc>
          <w:tcPr>
            <w:tcW w:w="975" w:type="dxa"/>
          </w:tcPr>
          <w:p w14:paraId="7D31F69A" w14:textId="77777777" w:rsidR="00D23C49" w:rsidRPr="00433DEB" w:rsidRDefault="00D23C49" w:rsidP="005C4A54">
            <w:r w:rsidRPr="00433DEB">
              <w:t>4240</w:t>
            </w:r>
          </w:p>
        </w:tc>
        <w:tc>
          <w:tcPr>
            <w:tcW w:w="2340" w:type="dxa"/>
          </w:tcPr>
          <w:p w14:paraId="00CE5B86" w14:textId="431EBDC1" w:rsidR="00D23C49" w:rsidRPr="00433DEB" w:rsidRDefault="00D23C49" w:rsidP="005C4A54">
            <w:r w:rsidRPr="00433DEB">
              <w:t>1969</w:t>
            </w:r>
            <w:r>
              <w:t>—2019</w:t>
            </w:r>
          </w:p>
        </w:tc>
      </w:tr>
      <w:tr w:rsidR="00D23C49" w:rsidRPr="00433DEB" w14:paraId="312578D9" w14:textId="77777777" w:rsidTr="00D23C49">
        <w:tc>
          <w:tcPr>
            <w:tcW w:w="1180" w:type="dxa"/>
          </w:tcPr>
          <w:p w14:paraId="0AF4FE81" w14:textId="77777777" w:rsidR="00D23C49" w:rsidRPr="00433DEB" w:rsidRDefault="00D23C49" w:rsidP="005C4A54">
            <w:r w:rsidRPr="00433DEB">
              <w:t>SADC</w:t>
            </w:r>
          </w:p>
        </w:tc>
        <w:tc>
          <w:tcPr>
            <w:tcW w:w="975" w:type="dxa"/>
          </w:tcPr>
          <w:p w14:paraId="73D444A2" w14:textId="77777777" w:rsidR="00D23C49" w:rsidRPr="00433DEB" w:rsidRDefault="00D23C49" w:rsidP="005C4A54">
            <w:r w:rsidRPr="00433DEB">
              <w:t>4250</w:t>
            </w:r>
          </w:p>
        </w:tc>
        <w:tc>
          <w:tcPr>
            <w:tcW w:w="2340" w:type="dxa"/>
          </w:tcPr>
          <w:p w14:paraId="3159F207" w14:textId="0D625B2D" w:rsidR="00D23C49" w:rsidRPr="00433DEB" w:rsidRDefault="00D23C49" w:rsidP="005C4A54">
            <w:r w:rsidRPr="00433DEB">
              <w:t>1982</w:t>
            </w:r>
            <w:r>
              <w:t>—2019</w:t>
            </w:r>
          </w:p>
        </w:tc>
      </w:tr>
      <w:tr w:rsidR="00D23C49" w:rsidRPr="00433DEB" w14:paraId="138C326D" w14:textId="77777777" w:rsidTr="00D23C49">
        <w:tc>
          <w:tcPr>
            <w:tcW w:w="1180" w:type="dxa"/>
          </w:tcPr>
          <w:p w14:paraId="0599F148" w14:textId="77777777" w:rsidR="00D23C49" w:rsidRPr="00433DEB" w:rsidRDefault="00D23C49" w:rsidP="005C4A54">
            <w:r w:rsidRPr="00433DEB">
              <w:t>SCO</w:t>
            </w:r>
          </w:p>
        </w:tc>
        <w:tc>
          <w:tcPr>
            <w:tcW w:w="975" w:type="dxa"/>
          </w:tcPr>
          <w:p w14:paraId="7DC9FF77" w14:textId="77777777" w:rsidR="00D23C49" w:rsidRPr="00433DEB" w:rsidRDefault="00D23C49" w:rsidP="005C4A54">
            <w:r w:rsidRPr="00433DEB">
              <w:t>5550</w:t>
            </w:r>
          </w:p>
        </w:tc>
        <w:tc>
          <w:tcPr>
            <w:tcW w:w="2340" w:type="dxa"/>
          </w:tcPr>
          <w:p w14:paraId="495A6DCB" w14:textId="11507A75" w:rsidR="00D23C49" w:rsidRPr="00433DEB" w:rsidRDefault="00D23C49" w:rsidP="005C4A54">
            <w:r w:rsidRPr="00433DEB">
              <w:t>2002</w:t>
            </w:r>
            <w:r>
              <w:t>—2019</w:t>
            </w:r>
          </w:p>
        </w:tc>
      </w:tr>
      <w:tr w:rsidR="00D23C49" w:rsidRPr="00433DEB" w14:paraId="206C0475" w14:textId="77777777" w:rsidTr="00D23C49">
        <w:tc>
          <w:tcPr>
            <w:tcW w:w="1180" w:type="dxa"/>
          </w:tcPr>
          <w:p w14:paraId="04773ADF" w14:textId="77777777" w:rsidR="00D23C49" w:rsidRPr="00433DEB" w:rsidRDefault="00D23C49" w:rsidP="005C4A54">
            <w:r w:rsidRPr="00433DEB">
              <w:t>SELA</w:t>
            </w:r>
          </w:p>
        </w:tc>
        <w:tc>
          <w:tcPr>
            <w:tcW w:w="975" w:type="dxa"/>
          </w:tcPr>
          <w:p w14:paraId="6D1A241F" w14:textId="77777777" w:rsidR="00D23C49" w:rsidRPr="00433DEB" w:rsidRDefault="00D23C49" w:rsidP="005C4A54">
            <w:r w:rsidRPr="00433DEB">
              <w:t>3390</w:t>
            </w:r>
          </w:p>
        </w:tc>
        <w:tc>
          <w:tcPr>
            <w:tcW w:w="2340" w:type="dxa"/>
          </w:tcPr>
          <w:p w14:paraId="1EE8B26C" w14:textId="57769B51" w:rsidR="00D23C49" w:rsidRPr="00433DEB" w:rsidRDefault="00D23C49" w:rsidP="005C4A54">
            <w:r w:rsidRPr="00433DEB">
              <w:t>1976</w:t>
            </w:r>
            <w:r>
              <w:t>—2019</w:t>
            </w:r>
          </w:p>
        </w:tc>
      </w:tr>
      <w:tr w:rsidR="00D23C49" w:rsidRPr="00433DEB" w14:paraId="46A33255" w14:textId="77777777" w:rsidTr="00D23C49">
        <w:tc>
          <w:tcPr>
            <w:tcW w:w="1180" w:type="dxa"/>
          </w:tcPr>
          <w:p w14:paraId="6AF3C9C1" w14:textId="77777777" w:rsidR="00D23C49" w:rsidRPr="00433DEB" w:rsidRDefault="00D23C49" w:rsidP="005C4A54">
            <w:r w:rsidRPr="00433DEB">
              <w:t>SICA</w:t>
            </w:r>
          </w:p>
        </w:tc>
        <w:tc>
          <w:tcPr>
            <w:tcW w:w="975" w:type="dxa"/>
          </w:tcPr>
          <w:p w14:paraId="258FD55F" w14:textId="77777777" w:rsidR="00D23C49" w:rsidRPr="00433DEB" w:rsidRDefault="00D23C49" w:rsidP="005C4A54">
            <w:r w:rsidRPr="00433DEB">
              <w:t>990</w:t>
            </w:r>
          </w:p>
        </w:tc>
        <w:tc>
          <w:tcPr>
            <w:tcW w:w="2340" w:type="dxa"/>
          </w:tcPr>
          <w:p w14:paraId="19F9527D" w14:textId="7C3150D5" w:rsidR="00D23C49" w:rsidRPr="00433DEB" w:rsidRDefault="00D23C49" w:rsidP="005C4A54">
            <w:r w:rsidRPr="00433DEB">
              <w:t>1952</w:t>
            </w:r>
            <w:r>
              <w:t>—2019</w:t>
            </w:r>
          </w:p>
        </w:tc>
      </w:tr>
      <w:tr w:rsidR="00D23C49" w:rsidRPr="00433DEB" w14:paraId="3A64B175" w14:textId="77777777" w:rsidTr="00D23C49">
        <w:tc>
          <w:tcPr>
            <w:tcW w:w="1180" w:type="dxa"/>
          </w:tcPr>
          <w:p w14:paraId="7DCEBC98" w14:textId="77777777" w:rsidR="00D23C49" w:rsidRPr="00433DEB" w:rsidRDefault="00D23C49" w:rsidP="005C4A54">
            <w:r w:rsidRPr="00433DEB">
              <w:t>SPC</w:t>
            </w:r>
          </w:p>
        </w:tc>
        <w:tc>
          <w:tcPr>
            <w:tcW w:w="975" w:type="dxa"/>
          </w:tcPr>
          <w:p w14:paraId="7F260BA0" w14:textId="77777777" w:rsidR="00D23C49" w:rsidRPr="00433DEB" w:rsidRDefault="00D23C49" w:rsidP="005C4A54">
            <w:r w:rsidRPr="00433DEB">
              <w:t>4190</w:t>
            </w:r>
          </w:p>
        </w:tc>
        <w:tc>
          <w:tcPr>
            <w:tcW w:w="2340" w:type="dxa"/>
          </w:tcPr>
          <w:p w14:paraId="7198F56E" w14:textId="0AF6F67D" w:rsidR="00D23C49" w:rsidRPr="00433DEB" w:rsidRDefault="00D23C49" w:rsidP="005C4A54">
            <w:r w:rsidRPr="00433DEB">
              <w:t>1950</w:t>
            </w:r>
            <w:r>
              <w:t>—2019</w:t>
            </w:r>
          </w:p>
        </w:tc>
      </w:tr>
      <w:tr w:rsidR="00D23C49" w:rsidRPr="00433DEB" w14:paraId="02B9706F" w14:textId="77777777" w:rsidTr="00D23C49">
        <w:tc>
          <w:tcPr>
            <w:tcW w:w="1180" w:type="dxa"/>
          </w:tcPr>
          <w:p w14:paraId="43F8B975" w14:textId="77777777" w:rsidR="00D23C49" w:rsidRPr="00433DEB" w:rsidRDefault="00D23C49" w:rsidP="005C4A54">
            <w:r w:rsidRPr="00433DEB">
              <w:t>UN</w:t>
            </w:r>
          </w:p>
        </w:tc>
        <w:tc>
          <w:tcPr>
            <w:tcW w:w="975" w:type="dxa"/>
          </w:tcPr>
          <w:p w14:paraId="37EFA32F" w14:textId="77777777" w:rsidR="00D23C49" w:rsidRPr="00433DEB" w:rsidRDefault="00D23C49" w:rsidP="005C4A54">
            <w:r w:rsidRPr="00433DEB">
              <w:t>4400</w:t>
            </w:r>
          </w:p>
        </w:tc>
        <w:tc>
          <w:tcPr>
            <w:tcW w:w="2340" w:type="dxa"/>
          </w:tcPr>
          <w:p w14:paraId="7F540834" w14:textId="3F5ADDAC" w:rsidR="00D23C49" w:rsidRPr="00433DEB" w:rsidRDefault="00D23C49" w:rsidP="005C4A54">
            <w:r w:rsidRPr="00433DEB">
              <w:t>1950</w:t>
            </w:r>
            <w:r>
              <w:t>—2019</w:t>
            </w:r>
          </w:p>
        </w:tc>
      </w:tr>
      <w:tr w:rsidR="00D23C49" w:rsidRPr="00433DEB" w14:paraId="1933260A" w14:textId="77777777" w:rsidTr="00D23C49">
        <w:tc>
          <w:tcPr>
            <w:tcW w:w="1180" w:type="dxa"/>
          </w:tcPr>
          <w:p w14:paraId="1F1B11B7" w14:textId="77777777" w:rsidR="00D23C49" w:rsidRPr="00433DEB" w:rsidRDefault="00D23C49" w:rsidP="005C4A54">
            <w:r w:rsidRPr="00433DEB">
              <w:t>UNESCO</w:t>
            </w:r>
          </w:p>
        </w:tc>
        <w:tc>
          <w:tcPr>
            <w:tcW w:w="975" w:type="dxa"/>
          </w:tcPr>
          <w:p w14:paraId="6C836695" w14:textId="77777777" w:rsidR="00D23C49" w:rsidRPr="00433DEB" w:rsidRDefault="00D23C49" w:rsidP="005C4A54">
            <w:r w:rsidRPr="00433DEB">
              <w:t>4410</w:t>
            </w:r>
          </w:p>
        </w:tc>
        <w:tc>
          <w:tcPr>
            <w:tcW w:w="2340" w:type="dxa"/>
          </w:tcPr>
          <w:p w14:paraId="08034F74" w14:textId="1BF6D52C" w:rsidR="00D23C49" w:rsidRPr="00433DEB" w:rsidRDefault="00D23C49" w:rsidP="005C4A54">
            <w:r w:rsidRPr="00433DEB">
              <w:t>1950</w:t>
            </w:r>
            <w:r>
              <w:t>—2019</w:t>
            </w:r>
          </w:p>
        </w:tc>
      </w:tr>
      <w:tr w:rsidR="00D23C49" w:rsidRPr="00433DEB" w14:paraId="613FEEFA" w14:textId="77777777" w:rsidTr="00D23C49">
        <w:tc>
          <w:tcPr>
            <w:tcW w:w="1180" w:type="dxa"/>
          </w:tcPr>
          <w:p w14:paraId="5A47060E" w14:textId="77777777" w:rsidR="00D23C49" w:rsidRPr="00433DEB" w:rsidRDefault="00D23C49" w:rsidP="005C4A54">
            <w:r w:rsidRPr="00433DEB">
              <w:t>UNIDO</w:t>
            </w:r>
          </w:p>
        </w:tc>
        <w:tc>
          <w:tcPr>
            <w:tcW w:w="975" w:type="dxa"/>
          </w:tcPr>
          <w:p w14:paraId="71C02F4F" w14:textId="77777777" w:rsidR="00D23C49" w:rsidRPr="00433DEB" w:rsidRDefault="00D23C49" w:rsidP="005C4A54">
            <w:r w:rsidRPr="00433DEB">
              <w:t>4420</w:t>
            </w:r>
          </w:p>
        </w:tc>
        <w:tc>
          <w:tcPr>
            <w:tcW w:w="2340" w:type="dxa"/>
          </w:tcPr>
          <w:p w14:paraId="74E3DCF0" w14:textId="675CA99C" w:rsidR="00D23C49" w:rsidRPr="00433DEB" w:rsidRDefault="00D23C49" w:rsidP="005C4A54">
            <w:r w:rsidRPr="00433DEB">
              <w:t>1985</w:t>
            </w:r>
            <w:r>
              <w:t>—2019</w:t>
            </w:r>
          </w:p>
        </w:tc>
      </w:tr>
      <w:tr w:rsidR="00D23C49" w:rsidRPr="00433DEB" w14:paraId="2B8EF7C4" w14:textId="77777777" w:rsidTr="00D23C49">
        <w:tc>
          <w:tcPr>
            <w:tcW w:w="1180" w:type="dxa"/>
          </w:tcPr>
          <w:p w14:paraId="6CBFC5AF" w14:textId="77777777" w:rsidR="00D23C49" w:rsidRPr="00433DEB" w:rsidRDefault="00D23C49" w:rsidP="005C4A54">
            <w:r w:rsidRPr="00433DEB">
              <w:t>UNWTO</w:t>
            </w:r>
          </w:p>
        </w:tc>
        <w:tc>
          <w:tcPr>
            <w:tcW w:w="975" w:type="dxa"/>
          </w:tcPr>
          <w:p w14:paraId="140FB4C0" w14:textId="77777777" w:rsidR="00D23C49" w:rsidRPr="00433DEB" w:rsidRDefault="00D23C49" w:rsidP="005C4A54">
            <w:r w:rsidRPr="00433DEB">
              <w:t>4570</w:t>
            </w:r>
          </w:p>
        </w:tc>
        <w:tc>
          <w:tcPr>
            <w:tcW w:w="2340" w:type="dxa"/>
          </w:tcPr>
          <w:p w14:paraId="3995EC10" w14:textId="68E3C174" w:rsidR="00D23C49" w:rsidRPr="00433DEB" w:rsidRDefault="00D23C49" w:rsidP="005C4A54">
            <w:r w:rsidRPr="00433DEB">
              <w:t>1975</w:t>
            </w:r>
            <w:r>
              <w:t>—2019</w:t>
            </w:r>
          </w:p>
        </w:tc>
      </w:tr>
      <w:tr w:rsidR="00D23C49" w:rsidRPr="00433DEB" w14:paraId="479FF7F0" w14:textId="77777777" w:rsidTr="00D23C49">
        <w:tc>
          <w:tcPr>
            <w:tcW w:w="1180" w:type="dxa"/>
          </w:tcPr>
          <w:p w14:paraId="26C3E5E2" w14:textId="77777777" w:rsidR="00D23C49" w:rsidRPr="00433DEB" w:rsidRDefault="00D23C49" w:rsidP="005C4A54">
            <w:r w:rsidRPr="00433DEB">
              <w:t>UPU</w:t>
            </w:r>
          </w:p>
        </w:tc>
        <w:tc>
          <w:tcPr>
            <w:tcW w:w="975" w:type="dxa"/>
          </w:tcPr>
          <w:p w14:paraId="4456D41C" w14:textId="77777777" w:rsidR="00D23C49" w:rsidRPr="00433DEB" w:rsidRDefault="00D23C49" w:rsidP="005C4A54">
            <w:r w:rsidRPr="00433DEB">
              <w:t>4430</w:t>
            </w:r>
          </w:p>
        </w:tc>
        <w:tc>
          <w:tcPr>
            <w:tcW w:w="2340" w:type="dxa"/>
          </w:tcPr>
          <w:p w14:paraId="52141B2D" w14:textId="04815BAE" w:rsidR="00D23C49" w:rsidRPr="00433DEB" w:rsidRDefault="00D23C49" w:rsidP="005C4A54">
            <w:r w:rsidRPr="00433DEB">
              <w:t>1950</w:t>
            </w:r>
            <w:r>
              <w:t>—2019</w:t>
            </w:r>
          </w:p>
        </w:tc>
      </w:tr>
      <w:tr w:rsidR="00D23C49" w:rsidRPr="00433DEB" w14:paraId="73261031" w14:textId="77777777" w:rsidTr="00D23C49">
        <w:tc>
          <w:tcPr>
            <w:tcW w:w="1180" w:type="dxa"/>
          </w:tcPr>
          <w:p w14:paraId="5EF791DF" w14:textId="77777777" w:rsidR="00D23C49" w:rsidRPr="00433DEB" w:rsidRDefault="00D23C49" w:rsidP="005C4A54">
            <w:r w:rsidRPr="00433DEB">
              <w:t>WCO</w:t>
            </w:r>
          </w:p>
        </w:tc>
        <w:tc>
          <w:tcPr>
            <w:tcW w:w="975" w:type="dxa"/>
          </w:tcPr>
          <w:p w14:paraId="5AA3F020" w14:textId="77777777" w:rsidR="00D23C49" w:rsidRPr="00433DEB" w:rsidRDefault="00D23C49" w:rsidP="005C4A54">
            <w:r w:rsidRPr="00433DEB">
              <w:t>1650</w:t>
            </w:r>
          </w:p>
        </w:tc>
        <w:tc>
          <w:tcPr>
            <w:tcW w:w="2340" w:type="dxa"/>
          </w:tcPr>
          <w:p w14:paraId="5E3FECD7" w14:textId="71A6E232" w:rsidR="00D23C49" w:rsidRPr="00433DEB" w:rsidRDefault="00D23C49" w:rsidP="005C4A54">
            <w:r w:rsidRPr="00433DEB">
              <w:t>1952</w:t>
            </w:r>
            <w:r>
              <w:t>—2019</w:t>
            </w:r>
          </w:p>
        </w:tc>
      </w:tr>
      <w:tr w:rsidR="00D23C49" w:rsidRPr="00433DEB" w14:paraId="0DA7292E" w14:textId="77777777" w:rsidTr="00D23C49">
        <w:tc>
          <w:tcPr>
            <w:tcW w:w="1180" w:type="dxa"/>
          </w:tcPr>
          <w:p w14:paraId="16481E31" w14:textId="77777777" w:rsidR="00D23C49" w:rsidRPr="00433DEB" w:rsidRDefault="00D23C49" w:rsidP="005C4A54">
            <w:r w:rsidRPr="00433DEB">
              <w:t>WHO</w:t>
            </w:r>
          </w:p>
        </w:tc>
        <w:tc>
          <w:tcPr>
            <w:tcW w:w="975" w:type="dxa"/>
          </w:tcPr>
          <w:p w14:paraId="67BAF0FA" w14:textId="77777777" w:rsidR="00D23C49" w:rsidRPr="00433DEB" w:rsidRDefault="00D23C49" w:rsidP="005C4A54">
            <w:r w:rsidRPr="00433DEB">
              <w:t>4550</w:t>
            </w:r>
          </w:p>
        </w:tc>
        <w:tc>
          <w:tcPr>
            <w:tcW w:w="2340" w:type="dxa"/>
          </w:tcPr>
          <w:p w14:paraId="09BB82FC" w14:textId="2A409D03" w:rsidR="00D23C49" w:rsidRPr="00433DEB" w:rsidRDefault="00D23C49" w:rsidP="005C4A54">
            <w:r w:rsidRPr="00433DEB">
              <w:t>1950</w:t>
            </w:r>
            <w:r>
              <w:t>—2019</w:t>
            </w:r>
          </w:p>
        </w:tc>
      </w:tr>
      <w:tr w:rsidR="00D23C49" w:rsidRPr="00433DEB" w14:paraId="7F6BD2E2" w14:textId="77777777" w:rsidTr="00D23C49">
        <w:tc>
          <w:tcPr>
            <w:tcW w:w="1180" w:type="dxa"/>
          </w:tcPr>
          <w:p w14:paraId="60E37D2F" w14:textId="77777777" w:rsidR="00D23C49" w:rsidRPr="00433DEB" w:rsidRDefault="00D23C49" w:rsidP="005C4A54">
            <w:r w:rsidRPr="00433DEB">
              <w:t>WIPO</w:t>
            </w:r>
          </w:p>
        </w:tc>
        <w:tc>
          <w:tcPr>
            <w:tcW w:w="975" w:type="dxa"/>
          </w:tcPr>
          <w:p w14:paraId="12466C1D" w14:textId="77777777" w:rsidR="00D23C49" w:rsidRPr="00433DEB" w:rsidRDefault="00D23C49" w:rsidP="005C4A54">
            <w:r w:rsidRPr="00433DEB">
              <w:t>4560</w:t>
            </w:r>
          </w:p>
        </w:tc>
        <w:tc>
          <w:tcPr>
            <w:tcW w:w="2340" w:type="dxa"/>
          </w:tcPr>
          <w:p w14:paraId="32AE4790" w14:textId="0BD457E1" w:rsidR="00D23C49" w:rsidRPr="00433DEB" w:rsidRDefault="00D23C49" w:rsidP="005C4A54">
            <w:r w:rsidRPr="00433DEB">
              <w:t>1970</w:t>
            </w:r>
            <w:r>
              <w:t>—2019</w:t>
            </w:r>
          </w:p>
        </w:tc>
      </w:tr>
      <w:tr w:rsidR="00D23C49" w:rsidRPr="00433DEB" w14:paraId="0B2F9586" w14:textId="77777777" w:rsidTr="00D23C49">
        <w:tc>
          <w:tcPr>
            <w:tcW w:w="1180" w:type="dxa"/>
          </w:tcPr>
          <w:p w14:paraId="66861A71" w14:textId="77777777" w:rsidR="00D23C49" w:rsidRPr="00433DEB" w:rsidRDefault="00D23C49" w:rsidP="005C4A54">
            <w:r w:rsidRPr="00433DEB">
              <w:t>WMO</w:t>
            </w:r>
          </w:p>
        </w:tc>
        <w:tc>
          <w:tcPr>
            <w:tcW w:w="975" w:type="dxa"/>
          </w:tcPr>
          <w:p w14:paraId="41B14215" w14:textId="77777777" w:rsidR="00D23C49" w:rsidRPr="00433DEB" w:rsidRDefault="00D23C49" w:rsidP="005C4A54">
            <w:r w:rsidRPr="00433DEB">
              <w:t>4530</w:t>
            </w:r>
          </w:p>
        </w:tc>
        <w:tc>
          <w:tcPr>
            <w:tcW w:w="2340" w:type="dxa"/>
          </w:tcPr>
          <w:p w14:paraId="48410216" w14:textId="6C3C19C5" w:rsidR="00D23C49" w:rsidRPr="00433DEB" w:rsidRDefault="00D23C49" w:rsidP="005C4A54">
            <w:r w:rsidRPr="00433DEB">
              <w:t>1950</w:t>
            </w:r>
            <w:r>
              <w:t>—2019</w:t>
            </w:r>
          </w:p>
        </w:tc>
      </w:tr>
      <w:tr w:rsidR="00D23C49" w:rsidRPr="00433DEB" w14:paraId="036A3C97" w14:textId="77777777" w:rsidTr="00D23C49">
        <w:tc>
          <w:tcPr>
            <w:tcW w:w="1180" w:type="dxa"/>
          </w:tcPr>
          <w:p w14:paraId="3B87E244" w14:textId="77777777" w:rsidR="00D23C49" w:rsidRPr="00433DEB" w:rsidRDefault="00D23C49" w:rsidP="005C4A54">
            <w:r w:rsidRPr="00433DEB">
              <w:t>WTO</w:t>
            </w:r>
          </w:p>
        </w:tc>
        <w:tc>
          <w:tcPr>
            <w:tcW w:w="975" w:type="dxa"/>
          </w:tcPr>
          <w:p w14:paraId="67000C9A" w14:textId="77777777" w:rsidR="00D23C49" w:rsidRPr="00433DEB" w:rsidRDefault="00D23C49" w:rsidP="005C4A54">
            <w:r w:rsidRPr="00433DEB">
              <w:t>4580</w:t>
            </w:r>
          </w:p>
        </w:tc>
        <w:tc>
          <w:tcPr>
            <w:tcW w:w="2340" w:type="dxa"/>
          </w:tcPr>
          <w:p w14:paraId="07F05374" w14:textId="6859F777" w:rsidR="00D23C49" w:rsidRPr="00433DEB" w:rsidRDefault="00D23C49" w:rsidP="005C4A54">
            <w:r w:rsidRPr="00433DEB">
              <w:t>1995</w:t>
            </w:r>
            <w:r>
              <w:t>—2019</w:t>
            </w:r>
          </w:p>
        </w:tc>
      </w:tr>
    </w:tbl>
    <w:p w14:paraId="1289AA92" w14:textId="77777777" w:rsidR="00217ADF" w:rsidRPr="00D65C72" w:rsidRDefault="00217ADF" w:rsidP="00B61DB2">
      <w:pPr>
        <w:rPr>
          <w:color w:val="000000" w:themeColor="text1"/>
          <w:sz w:val="24"/>
          <w:szCs w:val="24"/>
        </w:rPr>
      </w:pPr>
    </w:p>
    <w:sectPr w:rsidR="00217ADF" w:rsidRPr="00D65C72" w:rsidSect="000646AD">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C70C" w14:textId="77777777" w:rsidR="000B54D1" w:rsidRDefault="000B54D1" w:rsidP="003C34E6">
      <w:pPr>
        <w:spacing w:after="0" w:line="240" w:lineRule="auto"/>
      </w:pPr>
      <w:r>
        <w:separator/>
      </w:r>
    </w:p>
  </w:endnote>
  <w:endnote w:type="continuationSeparator" w:id="0">
    <w:p w14:paraId="3B2EB993" w14:textId="77777777" w:rsidR="000B54D1" w:rsidRDefault="000B54D1" w:rsidP="003C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2599"/>
      <w:docPartObj>
        <w:docPartGallery w:val="Page Numbers (Bottom of Page)"/>
        <w:docPartUnique/>
      </w:docPartObj>
    </w:sdtPr>
    <w:sdtEndPr>
      <w:rPr>
        <w:noProof/>
      </w:rPr>
    </w:sdtEndPr>
    <w:sdtContent>
      <w:p w14:paraId="10156E20" w14:textId="2F6366D4" w:rsidR="00552B81" w:rsidRDefault="00552B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2E8510" w14:textId="77777777" w:rsidR="00552B81" w:rsidRDefault="00552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45F0" w14:textId="77777777" w:rsidR="000B54D1" w:rsidRDefault="000B54D1" w:rsidP="003C34E6">
      <w:pPr>
        <w:spacing w:after="0" w:line="240" w:lineRule="auto"/>
      </w:pPr>
      <w:r>
        <w:separator/>
      </w:r>
    </w:p>
  </w:footnote>
  <w:footnote w:type="continuationSeparator" w:id="0">
    <w:p w14:paraId="772E1C7B" w14:textId="77777777" w:rsidR="000B54D1" w:rsidRDefault="000B54D1" w:rsidP="003C34E6">
      <w:pPr>
        <w:spacing w:after="0" w:line="240" w:lineRule="auto"/>
      </w:pPr>
      <w:r>
        <w:continuationSeparator/>
      </w:r>
    </w:p>
  </w:footnote>
  <w:footnote w:id="1">
    <w:p w14:paraId="081532FB" w14:textId="280D9D6D" w:rsidR="00AF1F99" w:rsidRDefault="00AF1F99" w:rsidP="007422F1">
      <w:pPr>
        <w:pStyle w:val="FootnoteText"/>
        <w:jc w:val="both"/>
      </w:pPr>
      <w:r>
        <w:rPr>
          <w:rStyle w:val="FootnoteReference"/>
        </w:rPr>
        <w:footnoteRef/>
      </w:r>
      <w:r>
        <w:t xml:space="preserve"> </w:t>
      </w:r>
      <w:r w:rsidRPr="00AF1F99">
        <w:t xml:space="preserve">An IO body may be partially or fully independent of member states in one of three ways. It may be composed of representatives of bodies outside the executive organs of the member state, for example, representatives of national or regional parliaments, courts, interest groups, professional associations, or international organizations. </w:t>
      </w:r>
      <w:r>
        <w:t>It</w:t>
      </w:r>
      <w:r w:rsidRPr="00AF1F99">
        <w:t xml:space="preserve"> may be composed of members who operate under an </w:t>
      </w:r>
      <w:r>
        <w:t xml:space="preserve">oath </w:t>
      </w:r>
      <w:r w:rsidRPr="00AF1F99">
        <w:t>of independence. Or it may be an external non-state body. In each case, the participant must have full voting rights to qualify as non-state</w:t>
      </w:r>
      <w:r>
        <w:t xml:space="preserve"> (Hooghe et al. 2016: 109ff)</w:t>
      </w:r>
      <w:r w:rsidRPr="00AF1F99">
        <w:t>.</w:t>
      </w:r>
    </w:p>
  </w:footnote>
  <w:footnote w:id="2">
    <w:p w14:paraId="36D905CF" w14:textId="4AC02494" w:rsidR="00040FC9" w:rsidRDefault="00040FC9" w:rsidP="00422ED7">
      <w:pPr>
        <w:pStyle w:val="FootnoteText"/>
        <w:jc w:val="both"/>
      </w:pPr>
      <w:r>
        <w:rPr>
          <w:rStyle w:val="FootnoteReference"/>
        </w:rPr>
        <w:footnoteRef/>
      </w:r>
      <w:r>
        <w:t xml:space="preserve"> </w:t>
      </w:r>
      <w:r w:rsidR="009A4EB7">
        <w:t>S</w:t>
      </w:r>
      <w:r>
        <w:t>tep 5 can be reconfigured by, first, averaging agenda setting</w:t>
      </w:r>
      <w:r w:rsidR="00EB3E09">
        <w:t>, final decision, and dispute settlement for each of</w:t>
      </w:r>
      <w:r>
        <w:t xml:space="preserve"> the six decision areas </w:t>
      </w:r>
      <w:r w:rsidR="00EB3E09">
        <w:t xml:space="preserve">to produce </w:t>
      </w:r>
      <w:r w:rsidR="00EB3E09" w:rsidRPr="00EB3E09">
        <w:t>delaccess, delsuspens, delconstit, delbudget, delfincompl, delpolicy</w:t>
      </w:r>
      <w:r w:rsidR="00EB3E09">
        <w:t xml:space="preserve">, </w:t>
      </w:r>
      <w:r>
        <w:t>and</w:t>
      </w:r>
      <w:r w:rsidR="00EB3E09">
        <w:t xml:space="preserve"> second, </w:t>
      </w:r>
      <w:r>
        <w:t xml:space="preserve">averaging </w:t>
      </w:r>
      <w:r w:rsidR="00EB3E09">
        <w:t xml:space="preserve">these six scores to produce delegation. </w:t>
      </w:r>
    </w:p>
  </w:footnote>
  <w:footnote w:id="3">
    <w:p w14:paraId="4A778B9A" w14:textId="4AA45A4E" w:rsidR="00D75FCE" w:rsidRDefault="00D75FCE" w:rsidP="00BF4F77">
      <w:pPr>
        <w:pStyle w:val="FootnoteText"/>
        <w:jc w:val="both"/>
      </w:pPr>
      <w:r>
        <w:rPr>
          <w:rStyle w:val="FootnoteReference"/>
        </w:rPr>
        <w:footnoteRef/>
      </w:r>
      <w:r>
        <w:t xml:space="preserve"> </w:t>
      </w:r>
      <w:r w:rsidRPr="00D75FCE">
        <w:t xml:space="preserve">We consider an assembly as state-dominated when </w:t>
      </w:r>
      <w:r>
        <w:t xml:space="preserve">all or a majority of </w:t>
      </w:r>
      <w:r w:rsidRPr="00D75FCE">
        <w:t>it</w:t>
      </w:r>
      <w:r>
        <w:t>s members are</w:t>
      </w:r>
      <w:r w:rsidRPr="00D75FCE">
        <w:t xml:space="preserve"> selected by member states</w:t>
      </w:r>
      <w:r>
        <w:t>; we consider an executive as state-dominated when all or a majority of its members represent member states and receive voting instructions from their government.</w:t>
      </w:r>
    </w:p>
  </w:footnote>
  <w:footnote w:id="4">
    <w:p w14:paraId="754B0B08" w14:textId="0A9C4D26" w:rsidR="00F12CB4" w:rsidRDefault="00F12CB4" w:rsidP="00AF02E0">
      <w:pPr>
        <w:pStyle w:val="FootnoteText"/>
        <w:jc w:val="both"/>
      </w:pPr>
      <w:r>
        <w:rPr>
          <w:rStyle w:val="FootnoteReference"/>
        </w:rPr>
        <w:footnoteRef/>
      </w:r>
      <w:r>
        <w:t xml:space="preserve"> </w:t>
      </w:r>
      <w:r w:rsidR="009A4EB7">
        <w:t>S</w:t>
      </w:r>
      <w:r w:rsidRPr="00F12CB4">
        <w:t xml:space="preserve">tep </w:t>
      </w:r>
      <w:r>
        <w:t xml:space="preserve">6 </w:t>
      </w:r>
      <w:r w:rsidRPr="00F12CB4">
        <w:t xml:space="preserve">can be reconfigured by, first, averaging the </w:t>
      </w:r>
      <w:r w:rsidR="00A925F8">
        <w:t xml:space="preserve">pooling </w:t>
      </w:r>
      <w:r w:rsidRPr="00F12CB4">
        <w:t xml:space="preserve">score </w:t>
      </w:r>
      <w:r w:rsidR="00A925F8">
        <w:t xml:space="preserve">for agenda setting and final decision for each of </w:t>
      </w:r>
      <w:r w:rsidRPr="00F12CB4">
        <w:t>the six decision areas</w:t>
      </w:r>
      <w:r w:rsidR="00A925F8">
        <w:t xml:space="preserve"> to </w:t>
      </w:r>
      <w:r w:rsidR="00A925F8" w:rsidRPr="00A925F8">
        <w:t xml:space="preserve">produce </w:t>
      </w:r>
      <w:r w:rsidR="00A925F8">
        <w:t>pool</w:t>
      </w:r>
      <w:r w:rsidR="00A925F8" w:rsidRPr="00A925F8">
        <w:t xml:space="preserve">access, </w:t>
      </w:r>
      <w:r w:rsidR="00A925F8">
        <w:t>pool</w:t>
      </w:r>
      <w:r w:rsidR="00A925F8" w:rsidRPr="00A925F8">
        <w:t xml:space="preserve">suspens, </w:t>
      </w:r>
      <w:r w:rsidR="00A925F8">
        <w:t>pool</w:t>
      </w:r>
      <w:r w:rsidR="00A925F8" w:rsidRPr="00A925F8">
        <w:t xml:space="preserve">constit, </w:t>
      </w:r>
      <w:r w:rsidR="00A925F8">
        <w:t>pool</w:t>
      </w:r>
      <w:r w:rsidR="00A925F8" w:rsidRPr="00A925F8">
        <w:t xml:space="preserve">budget, </w:t>
      </w:r>
      <w:r w:rsidR="00A925F8">
        <w:t>pool</w:t>
      </w:r>
      <w:r w:rsidR="00A925F8" w:rsidRPr="00A925F8">
        <w:t>compl</w:t>
      </w:r>
      <w:r w:rsidR="00DC1503">
        <w:t>iance</w:t>
      </w:r>
      <w:r w:rsidR="00A925F8" w:rsidRPr="00A925F8">
        <w:t xml:space="preserve">, </w:t>
      </w:r>
      <w:r w:rsidR="00A925F8">
        <w:t>pool</w:t>
      </w:r>
      <w:r w:rsidR="00A925F8" w:rsidRPr="00A925F8">
        <w:t xml:space="preserve">policy, and second, averaging these six scores to produce </w:t>
      </w:r>
      <w:r w:rsidR="00A925F8">
        <w:t>pooling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7A1"/>
    <w:multiLevelType w:val="hybridMultilevel"/>
    <w:tmpl w:val="BC8E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4BFC"/>
    <w:multiLevelType w:val="hybridMultilevel"/>
    <w:tmpl w:val="96F6CA80"/>
    <w:lvl w:ilvl="0" w:tplc="36D01B7E">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46CF3"/>
    <w:multiLevelType w:val="hybridMultilevel"/>
    <w:tmpl w:val="D9E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565EB"/>
    <w:multiLevelType w:val="hybridMultilevel"/>
    <w:tmpl w:val="7E36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F2833"/>
    <w:multiLevelType w:val="hybridMultilevel"/>
    <w:tmpl w:val="C46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35EF8"/>
    <w:multiLevelType w:val="hybridMultilevel"/>
    <w:tmpl w:val="51E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90A74"/>
    <w:multiLevelType w:val="hybridMultilevel"/>
    <w:tmpl w:val="7DB049C6"/>
    <w:lvl w:ilvl="0" w:tplc="36D01B7E">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86108"/>
    <w:multiLevelType w:val="hybridMultilevel"/>
    <w:tmpl w:val="1F521108"/>
    <w:lvl w:ilvl="0" w:tplc="07268A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72F55"/>
    <w:multiLevelType w:val="hybridMultilevel"/>
    <w:tmpl w:val="1EE6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C2D6595"/>
    <w:multiLevelType w:val="hybridMultilevel"/>
    <w:tmpl w:val="E4F8BE7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221DC"/>
    <w:multiLevelType w:val="hybridMultilevel"/>
    <w:tmpl w:val="E1227580"/>
    <w:lvl w:ilvl="0" w:tplc="B3F413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D16B7"/>
    <w:multiLevelType w:val="hybridMultilevel"/>
    <w:tmpl w:val="49F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0"/>
  </w:num>
  <w:num w:numId="6">
    <w:abstractNumId w:val="8"/>
  </w:num>
  <w:num w:numId="7">
    <w:abstractNumId w:val="4"/>
  </w:num>
  <w:num w:numId="8">
    <w:abstractNumId w:val="9"/>
  </w:num>
  <w:num w:numId="9">
    <w:abstractNumId w:val="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B2"/>
    <w:rsid w:val="000013BE"/>
    <w:rsid w:val="000051B3"/>
    <w:rsid w:val="00014D69"/>
    <w:rsid w:val="000236D2"/>
    <w:rsid w:val="00032D0B"/>
    <w:rsid w:val="0003674A"/>
    <w:rsid w:val="00040FC9"/>
    <w:rsid w:val="00046661"/>
    <w:rsid w:val="00050CF0"/>
    <w:rsid w:val="0006175F"/>
    <w:rsid w:val="00064331"/>
    <w:rsid w:val="000646AD"/>
    <w:rsid w:val="00065321"/>
    <w:rsid w:val="000815A4"/>
    <w:rsid w:val="000938CC"/>
    <w:rsid w:val="00096A4B"/>
    <w:rsid w:val="000A23DB"/>
    <w:rsid w:val="000A2830"/>
    <w:rsid w:val="000A3CE3"/>
    <w:rsid w:val="000B54D1"/>
    <w:rsid w:val="000D1B58"/>
    <w:rsid w:val="000E2293"/>
    <w:rsid w:val="000E2720"/>
    <w:rsid w:val="000E3666"/>
    <w:rsid w:val="000F445F"/>
    <w:rsid w:val="0010139A"/>
    <w:rsid w:val="00132EBC"/>
    <w:rsid w:val="00134E35"/>
    <w:rsid w:val="001426CB"/>
    <w:rsid w:val="00145519"/>
    <w:rsid w:val="00145870"/>
    <w:rsid w:val="00147F52"/>
    <w:rsid w:val="00172478"/>
    <w:rsid w:val="0017535F"/>
    <w:rsid w:val="00177C82"/>
    <w:rsid w:val="00183076"/>
    <w:rsid w:val="0018639F"/>
    <w:rsid w:val="001878FF"/>
    <w:rsid w:val="00187C9F"/>
    <w:rsid w:val="0019551B"/>
    <w:rsid w:val="00195DB8"/>
    <w:rsid w:val="001A362C"/>
    <w:rsid w:val="001A4676"/>
    <w:rsid w:val="001B1E68"/>
    <w:rsid w:val="001B7B78"/>
    <w:rsid w:val="001C40AB"/>
    <w:rsid w:val="001D14A0"/>
    <w:rsid w:val="001D1F33"/>
    <w:rsid w:val="001D61F4"/>
    <w:rsid w:val="001E53B4"/>
    <w:rsid w:val="001F08A4"/>
    <w:rsid w:val="001F335F"/>
    <w:rsid w:val="001F3AD8"/>
    <w:rsid w:val="001F4A53"/>
    <w:rsid w:val="001F5564"/>
    <w:rsid w:val="001F7125"/>
    <w:rsid w:val="00216497"/>
    <w:rsid w:val="0021752B"/>
    <w:rsid w:val="00217ADF"/>
    <w:rsid w:val="0022384B"/>
    <w:rsid w:val="00230521"/>
    <w:rsid w:val="00243EB4"/>
    <w:rsid w:val="0024416F"/>
    <w:rsid w:val="00252EAA"/>
    <w:rsid w:val="002605D8"/>
    <w:rsid w:val="0026306C"/>
    <w:rsid w:val="00266F6A"/>
    <w:rsid w:val="002804BB"/>
    <w:rsid w:val="0028316B"/>
    <w:rsid w:val="0029258F"/>
    <w:rsid w:val="00293EC9"/>
    <w:rsid w:val="00296AA5"/>
    <w:rsid w:val="002A3E82"/>
    <w:rsid w:val="002A5D66"/>
    <w:rsid w:val="002B039B"/>
    <w:rsid w:val="002B072A"/>
    <w:rsid w:val="002B1396"/>
    <w:rsid w:val="002B19B4"/>
    <w:rsid w:val="002B1DBC"/>
    <w:rsid w:val="002D4D1C"/>
    <w:rsid w:val="002D5149"/>
    <w:rsid w:val="002E281D"/>
    <w:rsid w:val="002E56E5"/>
    <w:rsid w:val="002E7555"/>
    <w:rsid w:val="002F1450"/>
    <w:rsid w:val="002F1F4D"/>
    <w:rsid w:val="00300242"/>
    <w:rsid w:val="003123C7"/>
    <w:rsid w:val="0032070C"/>
    <w:rsid w:val="003426C0"/>
    <w:rsid w:val="00344D62"/>
    <w:rsid w:val="00361765"/>
    <w:rsid w:val="0036572D"/>
    <w:rsid w:val="003667E1"/>
    <w:rsid w:val="00374927"/>
    <w:rsid w:val="003767E8"/>
    <w:rsid w:val="00382DA2"/>
    <w:rsid w:val="00385940"/>
    <w:rsid w:val="00387339"/>
    <w:rsid w:val="00392010"/>
    <w:rsid w:val="00392A2C"/>
    <w:rsid w:val="00395B98"/>
    <w:rsid w:val="003A5E87"/>
    <w:rsid w:val="003A766A"/>
    <w:rsid w:val="003B0512"/>
    <w:rsid w:val="003B760B"/>
    <w:rsid w:val="003C34E6"/>
    <w:rsid w:val="003D309C"/>
    <w:rsid w:val="003D4446"/>
    <w:rsid w:val="003D4E87"/>
    <w:rsid w:val="003F0CF3"/>
    <w:rsid w:val="003F1319"/>
    <w:rsid w:val="00417FF6"/>
    <w:rsid w:val="00422ED7"/>
    <w:rsid w:val="00423A58"/>
    <w:rsid w:val="004306F9"/>
    <w:rsid w:val="00433DEB"/>
    <w:rsid w:val="0043527F"/>
    <w:rsid w:val="00441454"/>
    <w:rsid w:val="004416D8"/>
    <w:rsid w:val="00442AD2"/>
    <w:rsid w:val="00443942"/>
    <w:rsid w:val="00446C89"/>
    <w:rsid w:val="00463AA2"/>
    <w:rsid w:val="0046507C"/>
    <w:rsid w:val="00475BB4"/>
    <w:rsid w:val="00483D33"/>
    <w:rsid w:val="004A3567"/>
    <w:rsid w:val="004A449A"/>
    <w:rsid w:val="004A73B2"/>
    <w:rsid w:val="004A7DD9"/>
    <w:rsid w:val="004B0A0A"/>
    <w:rsid w:val="004C4299"/>
    <w:rsid w:val="004D13C5"/>
    <w:rsid w:val="004D16A9"/>
    <w:rsid w:val="004D28D2"/>
    <w:rsid w:val="004D4547"/>
    <w:rsid w:val="004D4922"/>
    <w:rsid w:val="004E3DE0"/>
    <w:rsid w:val="004E4BA3"/>
    <w:rsid w:val="004F302E"/>
    <w:rsid w:val="00503851"/>
    <w:rsid w:val="005056E2"/>
    <w:rsid w:val="00506056"/>
    <w:rsid w:val="00514D66"/>
    <w:rsid w:val="00524594"/>
    <w:rsid w:val="005376EF"/>
    <w:rsid w:val="00545AFC"/>
    <w:rsid w:val="00546D31"/>
    <w:rsid w:val="005510DF"/>
    <w:rsid w:val="005524AB"/>
    <w:rsid w:val="00552B81"/>
    <w:rsid w:val="00564EB5"/>
    <w:rsid w:val="005804D9"/>
    <w:rsid w:val="005819C5"/>
    <w:rsid w:val="005827BF"/>
    <w:rsid w:val="005A3D3B"/>
    <w:rsid w:val="005A4A9A"/>
    <w:rsid w:val="005A6C95"/>
    <w:rsid w:val="005B3D7B"/>
    <w:rsid w:val="005C001A"/>
    <w:rsid w:val="005C068A"/>
    <w:rsid w:val="005C146E"/>
    <w:rsid w:val="005C71AC"/>
    <w:rsid w:val="005D2FB6"/>
    <w:rsid w:val="005E3FA7"/>
    <w:rsid w:val="005F0E7A"/>
    <w:rsid w:val="005F3263"/>
    <w:rsid w:val="00604126"/>
    <w:rsid w:val="006121C1"/>
    <w:rsid w:val="006247AF"/>
    <w:rsid w:val="00624FB5"/>
    <w:rsid w:val="00626A28"/>
    <w:rsid w:val="00626B8E"/>
    <w:rsid w:val="00627CCC"/>
    <w:rsid w:val="00630241"/>
    <w:rsid w:val="00632809"/>
    <w:rsid w:val="00635474"/>
    <w:rsid w:val="006360C1"/>
    <w:rsid w:val="00660CF7"/>
    <w:rsid w:val="0066125E"/>
    <w:rsid w:val="006625EA"/>
    <w:rsid w:val="006651F4"/>
    <w:rsid w:val="006838DC"/>
    <w:rsid w:val="006920A5"/>
    <w:rsid w:val="00692CFB"/>
    <w:rsid w:val="006A6204"/>
    <w:rsid w:val="006C12D4"/>
    <w:rsid w:val="006C4CD0"/>
    <w:rsid w:val="006D5AE7"/>
    <w:rsid w:val="006E4D4C"/>
    <w:rsid w:val="006F21C3"/>
    <w:rsid w:val="006F2DE2"/>
    <w:rsid w:val="00704E2A"/>
    <w:rsid w:val="007153E7"/>
    <w:rsid w:val="00720B99"/>
    <w:rsid w:val="00723B50"/>
    <w:rsid w:val="00730C12"/>
    <w:rsid w:val="0073486B"/>
    <w:rsid w:val="007422F1"/>
    <w:rsid w:val="00744254"/>
    <w:rsid w:val="00765BB9"/>
    <w:rsid w:val="00767704"/>
    <w:rsid w:val="0078034D"/>
    <w:rsid w:val="0079164D"/>
    <w:rsid w:val="007955D2"/>
    <w:rsid w:val="00797A6D"/>
    <w:rsid w:val="007B150B"/>
    <w:rsid w:val="007B3D6D"/>
    <w:rsid w:val="007B4C2E"/>
    <w:rsid w:val="007C401F"/>
    <w:rsid w:val="007D0CA6"/>
    <w:rsid w:val="007D2091"/>
    <w:rsid w:val="007E1C0B"/>
    <w:rsid w:val="007E7421"/>
    <w:rsid w:val="007F6D5F"/>
    <w:rsid w:val="0080160A"/>
    <w:rsid w:val="0080401E"/>
    <w:rsid w:val="008052AE"/>
    <w:rsid w:val="00806559"/>
    <w:rsid w:val="00811F0E"/>
    <w:rsid w:val="00822FAC"/>
    <w:rsid w:val="00830329"/>
    <w:rsid w:val="00833390"/>
    <w:rsid w:val="00834D74"/>
    <w:rsid w:val="008351F6"/>
    <w:rsid w:val="00837680"/>
    <w:rsid w:val="008568B5"/>
    <w:rsid w:val="00864653"/>
    <w:rsid w:val="0087014A"/>
    <w:rsid w:val="008723A5"/>
    <w:rsid w:val="008746F0"/>
    <w:rsid w:val="008761AF"/>
    <w:rsid w:val="008848AD"/>
    <w:rsid w:val="008979B7"/>
    <w:rsid w:val="008A0A63"/>
    <w:rsid w:val="008A7986"/>
    <w:rsid w:val="008B6681"/>
    <w:rsid w:val="008B6732"/>
    <w:rsid w:val="008B6FBF"/>
    <w:rsid w:val="008C2DC0"/>
    <w:rsid w:val="008C4C93"/>
    <w:rsid w:val="008D0F51"/>
    <w:rsid w:val="008D5A83"/>
    <w:rsid w:val="008E2A5F"/>
    <w:rsid w:val="008E3556"/>
    <w:rsid w:val="008F26E3"/>
    <w:rsid w:val="008F4384"/>
    <w:rsid w:val="009036A1"/>
    <w:rsid w:val="00904846"/>
    <w:rsid w:val="0090685E"/>
    <w:rsid w:val="00907EE9"/>
    <w:rsid w:val="00915462"/>
    <w:rsid w:val="009214C3"/>
    <w:rsid w:val="009658F6"/>
    <w:rsid w:val="009716F3"/>
    <w:rsid w:val="009739EE"/>
    <w:rsid w:val="009748FB"/>
    <w:rsid w:val="00977350"/>
    <w:rsid w:val="00986BB9"/>
    <w:rsid w:val="00994D47"/>
    <w:rsid w:val="00994D7F"/>
    <w:rsid w:val="009A4EB7"/>
    <w:rsid w:val="009B2EBF"/>
    <w:rsid w:val="009B6784"/>
    <w:rsid w:val="009B6B44"/>
    <w:rsid w:val="009D0F41"/>
    <w:rsid w:val="009D14B9"/>
    <w:rsid w:val="009D2297"/>
    <w:rsid w:val="009D3937"/>
    <w:rsid w:val="009E0720"/>
    <w:rsid w:val="009E1013"/>
    <w:rsid w:val="009E13B5"/>
    <w:rsid w:val="009E1DED"/>
    <w:rsid w:val="00A01A75"/>
    <w:rsid w:val="00A13C21"/>
    <w:rsid w:val="00A1515E"/>
    <w:rsid w:val="00A21100"/>
    <w:rsid w:val="00A30290"/>
    <w:rsid w:val="00A3789A"/>
    <w:rsid w:val="00A403BC"/>
    <w:rsid w:val="00A54E20"/>
    <w:rsid w:val="00A60806"/>
    <w:rsid w:val="00A608AE"/>
    <w:rsid w:val="00A6143E"/>
    <w:rsid w:val="00A62C8A"/>
    <w:rsid w:val="00A65716"/>
    <w:rsid w:val="00A65783"/>
    <w:rsid w:val="00A80950"/>
    <w:rsid w:val="00A8197B"/>
    <w:rsid w:val="00A84667"/>
    <w:rsid w:val="00A85A46"/>
    <w:rsid w:val="00A90B69"/>
    <w:rsid w:val="00A925F8"/>
    <w:rsid w:val="00AA356D"/>
    <w:rsid w:val="00AB18CD"/>
    <w:rsid w:val="00AB1B7A"/>
    <w:rsid w:val="00AB2472"/>
    <w:rsid w:val="00AB2844"/>
    <w:rsid w:val="00AC14E6"/>
    <w:rsid w:val="00AC4108"/>
    <w:rsid w:val="00AC5F48"/>
    <w:rsid w:val="00AC6B61"/>
    <w:rsid w:val="00AE534E"/>
    <w:rsid w:val="00AE6E44"/>
    <w:rsid w:val="00AF02E0"/>
    <w:rsid w:val="00AF1F99"/>
    <w:rsid w:val="00AF3915"/>
    <w:rsid w:val="00B023F7"/>
    <w:rsid w:val="00B04DB0"/>
    <w:rsid w:val="00B10B02"/>
    <w:rsid w:val="00B118F0"/>
    <w:rsid w:val="00B11C37"/>
    <w:rsid w:val="00B15280"/>
    <w:rsid w:val="00B20664"/>
    <w:rsid w:val="00B224CC"/>
    <w:rsid w:val="00B27776"/>
    <w:rsid w:val="00B507D9"/>
    <w:rsid w:val="00B512CC"/>
    <w:rsid w:val="00B54BB0"/>
    <w:rsid w:val="00B6162A"/>
    <w:rsid w:val="00B61DB2"/>
    <w:rsid w:val="00B729BF"/>
    <w:rsid w:val="00B73B27"/>
    <w:rsid w:val="00B7699A"/>
    <w:rsid w:val="00B76F3F"/>
    <w:rsid w:val="00B81347"/>
    <w:rsid w:val="00B81C40"/>
    <w:rsid w:val="00B81DC3"/>
    <w:rsid w:val="00B844E3"/>
    <w:rsid w:val="00B93CDD"/>
    <w:rsid w:val="00B96BD7"/>
    <w:rsid w:val="00BA4721"/>
    <w:rsid w:val="00BA529C"/>
    <w:rsid w:val="00BC2D90"/>
    <w:rsid w:val="00BC7DF7"/>
    <w:rsid w:val="00BD0F87"/>
    <w:rsid w:val="00BE1531"/>
    <w:rsid w:val="00BE2E7F"/>
    <w:rsid w:val="00BE5148"/>
    <w:rsid w:val="00BF084E"/>
    <w:rsid w:val="00BF2D44"/>
    <w:rsid w:val="00BF38F1"/>
    <w:rsid w:val="00BF4F77"/>
    <w:rsid w:val="00C02BAE"/>
    <w:rsid w:val="00C066FB"/>
    <w:rsid w:val="00C14E1A"/>
    <w:rsid w:val="00C17474"/>
    <w:rsid w:val="00C17886"/>
    <w:rsid w:val="00C27F1C"/>
    <w:rsid w:val="00C322A3"/>
    <w:rsid w:val="00C34572"/>
    <w:rsid w:val="00C417BC"/>
    <w:rsid w:val="00C422C3"/>
    <w:rsid w:val="00C445A7"/>
    <w:rsid w:val="00C463B7"/>
    <w:rsid w:val="00C47D5A"/>
    <w:rsid w:val="00C52AD5"/>
    <w:rsid w:val="00C745AB"/>
    <w:rsid w:val="00C8324D"/>
    <w:rsid w:val="00CA0C34"/>
    <w:rsid w:val="00CA3C81"/>
    <w:rsid w:val="00CA5C67"/>
    <w:rsid w:val="00CB6F2E"/>
    <w:rsid w:val="00CB74AA"/>
    <w:rsid w:val="00CB7E9B"/>
    <w:rsid w:val="00CC7631"/>
    <w:rsid w:val="00CD74BE"/>
    <w:rsid w:val="00CD7D59"/>
    <w:rsid w:val="00CF0593"/>
    <w:rsid w:val="00CF1E7C"/>
    <w:rsid w:val="00CF71E2"/>
    <w:rsid w:val="00D07698"/>
    <w:rsid w:val="00D23C49"/>
    <w:rsid w:val="00D251F0"/>
    <w:rsid w:val="00D25D0A"/>
    <w:rsid w:val="00D26364"/>
    <w:rsid w:val="00D3093D"/>
    <w:rsid w:val="00D30D9F"/>
    <w:rsid w:val="00D318AB"/>
    <w:rsid w:val="00D411C9"/>
    <w:rsid w:val="00D46701"/>
    <w:rsid w:val="00D51F0D"/>
    <w:rsid w:val="00D565B2"/>
    <w:rsid w:val="00D5792D"/>
    <w:rsid w:val="00D64A88"/>
    <w:rsid w:val="00D6538D"/>
    <w:rsid w:val="00D65C72"/>
    <w:rsid w:val="00D65CDD"/>
    <w:rsid w:val="00D663A4"/>
    <w:rsid w:val="00D75FCE"/>
    <w:rsid w:val="00D85CD8"/>
    <w:rsid w:val="00D85E6F"/>
    <w:rsid w:val="00D95C7C"/>
    <w:rsid w:val="00D95D9E"/>
    <w:rsid w:val="00DA6CFB"/>
    <w:rsid w:val="00DB361F"/>
    <w:rsid w:val="00DC1503"/>
    <w:rsid w:val="00DC39F0"/>
    <w:rsid w:val="00DD1494"/>
    <w:rsid w:val="00DE0E85"/>
    <w:rsid w:val="00DE21F0"/>
    <w:rsid w:val="00DF15F8"/>
    <w:rsid w:val="00DF7680"/>
    <w:rsid w:val="00E024F7"/>
    <w:rsid w:val="00E03030"/>
    <w:rsid w:val="00E20E6A"/>
    <w:rsid w:val="00E26A37"/>
    <w:rsid w:val="00E60ECF"/>
    <w:rsid w:val="00E7559C"/>
    <w:rsid w:val="00E912F7"/>
    <w:rsid w:val="00E92E06"/>
    <w:rsid w:val="00E9376F"/>
    <w:rsid w:val="00E94B28"/>
    <w:rsid w:val="00EB1B36"/>
    <w:rsid w:val="00EB2776"/>
    <w:rsid w:val="00EB3E09"/>
    <w:rsid w:val="00EC31F4"/>
    <w:rsid w:val="00EC54CB"/>
    <w:rsid w:val="00ED1A2E"/>
    <w:rsid w:val="00ED2065"/>
    <w:rsid w:val="00ED5D3B"/>
    <w:rsid w:val="00ED7FB7"/>
    <w:rsid w:val="00EF0D25"/>
    <w:rsid w:val="00EF1547"/>
    <w:rsid w:val="00EF7BFF"/>
    <w:rsid w:val="00F12AA8"/>
    <w:rsid w:val="00F12CB4"/>
    <w:rsid w:val="00F26581"/>
    <w:rsid w:val="00F33FC1"/>
    <w:rsid w:val="00F46626"/>
    <w:rsid w:val="00F51F79"/>
    <w:rsid w:val="00F55B1D"/>
    <w:rsid w:val="00F646D7"/>
    <w:rsid w:val="00F7642A"/>
    <w:rsid w:val="00F77D14"/>
    <w:rsid w:val="00F800A1"/>
    <w:rsid w:val="00F803DC"/>
    <w:rsid w:val="00F8236B"/>
    <w:rsid w:val="00F8734A"/>
    <w:rsid w:val="00F92CFA"/>
    <w:rsid w:val="00FA3D8A"/>
    <w:rsid w:val="00FB551C"/>
    <w:rsid w:val="00FB5D76"/>
    <w:rsid w:val="00FC2F3E"/>
    <w:rsid w:val="00FC79A7"/>
    <w:rsid w:val="00FD573E"/>
    <w:rsid w:val="00FE225B"/>
    <w:rsid w:val="00FE40A2"/>
    <w:rsid w:val="00FE6A4F"/>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29086"/>
  <w15:docId w15:val="{67D8C6ED-3EF6-4F88-9E3D-1E482D68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6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3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B2"/>
    <w:pPr>
      <w:ind w:left="720"/>
      <w:contextualSpacing/>
    </w:pPr>
  </w:style>
  <w:style w:type="table" w:styleId="TableGrid">
    <w:name w:val="Table Grid"/>
    <w:basedOn w:val="TableNormal"/>
    <w:uiPriority w:val="39"/>
    <w:rsid w:val="00B6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306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C3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E6"/>
  </w:style>
  <w:style w:type="paragraph" w:styleId="Footer">
    <w:name w:val="footer"/>
    <w:basedOn w:val="Normal"/>
    <w:link w:val="FooterChar"/>
    <w:uiPriority w:val="99"/>
    <w:unhideWhenUsed/>
    <w:rsid w:val="003C3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E6"/>
  </w:style>
  <w:style w:type="paragraph" w:styleId="BalloonText">
    <w:name w:val="Balloon Text"/>
    <w:basedOn w:val="Normal"/>
    <w:link w:val="BalloonTextChar"/>
    <w:uiPriority w:val="99"/>
    <w:semiHidden/>
    <w:unhideWhenUsed/>
    <w:rsid w:val="00395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98"/>
    <w:rPr>
      <w:rFonts w:ascii="Segoe UI" w:hAnsi="Segoe UI" w:cs="Segoe UI"/>
      <w:sz w:val="18"/>
      <w:szCs w:val="18"/>
    </w:rPr>
  </w:style>
  <w:style w:type="character" w:styleId="CommentReference">
    <w:name w:val="annotation reference"/>
    <w:basedOn w:val="DefaultParagraphFont"/>
    <w:uiPriority w:val="99"/>
    <w:semiHidden/>
    <w:unhideWhenUsed/>
    <w:rsid w:val="005A4A9A"/>
    <w:rPr>
      <w:sz w:val="18"/>
      <w:szCs w:val="18"/>
    </w:rPr>
  </w:style>
  <w:style w:type="paragraph" w:styleId="CommentText">
    <w:name w:val="annotation text"/>
    <w:basedOn w:val="Normal"/>
    <w:link w:val="CommentTextChar"/>
    <w:uiPriority w:val="99"/>
    <w:semiHidden/>
    <w:unhideWhenUsed/>
    <w:rsid w:val="005A4A9A"/>
    <w:pPr>
      <w:spacing w:line="240" w:lineRule="auto"/>
    </w:pPr>
    <w:rPr>
      <w:sz w:val="24"/>
      <w:szCs w:val="24"/>
    </w:rPr>
  </w:style>
  <w:style w:type="character" w:customStyle="1" w:styleId="CommentTextChar">
    <w:name w:val="Comment Text Char"/>
    <w:basedOn w:val="DefaultParagraphFont"/>
    <w:link w:val="CommentText"/>
    <w:uiPriority w:val="99"/>
    <w:semiHidden/>
    <w:rsid w:val="005A4A9A"/>
    <w:rPr>
      <w:sz w:val="24"/>
      <w:szCs w:val="24"/>
    </w:rPr>
  </w:style>
  <w:style w:type="paragraph" w:styleId="CommentSubject">
    <w:name w:val="annotation subject"/>
    <w:basedOn w:val="CommentText"/>
    <w:next w:val="CommentText"/>
    <w:link w:val="CommentSubjectChar"/>
    <w:uiPriority w:val="99"/>
    <w:semiHidden/>
    <w:unhideWhenUsed/>
    <w:rsid w:val="005A4A9A"/>
    <w:rPr>
      <w:b/>
      <w:bCs/>
      <w:sz w:val="20"/>
      <w:szCs w:val="20"/>
    </w:rPr>
  </w:style>
  <w:style w:type="character" w:customStyle="1" w:styleId="CommentSubjectChar">
    <w:name w:val="Comment Subject Char"/>
    <w:basedOn w:val="CommentTextChar"/>
    <w:link w:val="CommentSubject"/>
    <w:uiPriority w:val="99"/>
    <w:semiHidden/>
    <w:rsid w:val="005A4A9A"/>
    <w:rPr>
      <w:b/>
      <w:bCs/>
      <w:sz w:val="20"/>
      <w:szCs w:val="20"/>
    </w:rPr>
  </w:style>
  <w:style w:type="character" w:styleId="Hyperlink">
    <w:name w:val="Hyperlink"/>
    <w:basedOn w:val="DefaultParagraphFont"/>
    <w:uiPriority w:val="99"/>
    <w:unhideWhenUsed/>
    <w:rsid w:val="00217ADF"/>
    <w:rPr>
      <w:color w:val="0000FF"/>
      <w:u w:val="single"/>
    </w:rPr>
  </w:style>
  <w:style w:type="character" w:styleId="FollowedHyperlink">
    <w:name w:val="FollowedHyperlink"/>
    <w:basedOn w:val="DefaultParagraphFont"/>
    <w:uiPriority w:val="99"/>
    <w:semiHidden/>
    <w:unhideWhenUsed/>
    <w:rsid w:val="00217ADF"/>
    <w:rPr>
      <w:color w:val="800080"/>
      <w:u w:val="single"/>
    </w:rPr>
  </w:style>
  <w:style w:type="paragraph" w:customStyle="1" w:styleId="xl63">
    <w:name w:val="xl63"/>
    <w:basedOn w:val="Normal"/>
    <w:rsid w:val="00217ADF"/>
    <w:pPr>
      <w:spacing w:before="100" w:beforeAutospacing="1" w:after="100" w:afterAutospacing="1" w:line="240" w:lineRule="auto"/>
      <w:jc w:val="center"/>
    </w:pPr>
    <w:rPr>
      <w:rFonts w:ascii="Times" w:hAnsi="Times"/>
      <w:sz w:val="20"/>
      <w:szCs w:val="20"/>
      <w:lang w:val="en-GB"/>
    </w:rPr>
  </w:style>
  <w:style w:type="paragraph" w:customStyle="1" w:styleId="xl64">
    <w:name w:val="xl64"/>
    <w:basedOn w:val="Normal"/>
    <w:rsid w:val="00217ADF"/>
    <w:pPr>
      <w:spacing w:before="100" w:beforeAutospacing="1" w:after="100" w:afterAutospacing="1" w:line="240" w:lineRule="auto"/>
      <w:jc w:val="center"/>
    </w:pPr>
    <w:rPr>
      <w:rFonts w:ascii="Times" w:hAnsi="Times"/>
      <w:color w:val="000000"/>
      <w:sz w:val="20"/>
      <w:szCs w:val="20"/>
      <w:lang w:val="en-GB"/>
    </w:rPr>
  </w:style>
  <w:style w:type="paragraph" w:customStyle="1" w:styleId="xl65">
    <w:name w:val="xl65"/>
    <w:basedOn w:val="Normal"/>
    <w:rsid w:val="00217ADF"/>
    <w:pPr>
      <w:pBdr>
        <w:top w:val="single" w:sz="8" w:space="0" w:color="auto"/>
        <w:bottom w:val="single" w:sz="4" w:space="0" w:color="auto"/>
      </w:pBdr>
      <w:spacing w:before="100" w:beforeAutospacing="1" w:after="100" w:afterAutospacing="1" w:line="240" w:lineRule="auto"/>
      <w:jc w:val="center"/>
    </w:pPr>
    <w:rPr>
      <w:rFonts w:ascii="Times" w:hAnsi="Times"/>
      <w:b/>
      <w:bCs/>
      <w:sz w:val="20"/>
      <w:szCs w:val="20"/>
      <w:lang w:val="en-GB"/>
    </w:rPr>
  </w:style>
  <w:style w:type="paragraph" w:customStyle="1" w:styleId="xl66">
    <w:name w:val="xl66"/>
    <w:basedOn w:val="Normal"/>
    <w:rsid w:val="00217ADF"/>
    <w:pPr>
      <w:pBdr>
        <w:bottom w:val="single" w:sz="8" w:space="0" w:color="auto"/>
      </w:pBdr>
      <w:spacing w:before="100" w:beforeAutospacing="1" w:after="100" w:afterAutospacing="1" w:line="240" w:lineRule="auto"/>
      <w:jc w:val="center"/>
    </w:pPr>
    <w:rPr>
      <w:rFonts w:ascii="Times" w:hAnsi="Times"/>
      <w:sz w:val="20"/>
      <w:szCs w:val="20"/>
      <w:lang w:val="en-GB"/>
    </w:rPr>
  </w:style>
  <w:style w:type="paragraph" w:customStyle="1" w:styleId="xl67">
    <w:name w:val="xl67"/>
    <w:basedOn w:val="Normal"/>
    <w:rsid w:val="00217ADF"/>
    <w:pPr>
      <w:pBdr>
        <w:top w:val="single" w:sz="4" w:space="0" w:color="auto"/>
        <w:bottom w:val="single" w:sz="4" w:space="0" w:color="auto"/>
      </w:pBdr>
      <w:spacing w:before="100" w:beforeAutospacing="1" w:after="100" w:afterAutospacing="1" w:line="240" w:lineRule="auto"/>
      <w:jc w:val="center"/>
    </w:pPr>
    <w:rPr>
      <w:rFonts w:ascii="Times" w:hAnsi="Times"/>
      <w:sz w:val="20"/>
      <w:szCs w:val="20"/>
      <w:lang w:val="en-GB"/>
    </w:rPr>
  </w:style>
  <w:style w:type="paragraph" w:customStyle="1" w:styleId="xl68">
    <w:name w:val="xl68"/>
    <w:basedOn w:val="Normal"/>
    <w:rsid w:val="00217ADF"/>
    <w:pPr>
      <w:pBdr>
        <w:top w:val="single" w:sz="8" w:space="0" w:color="auto"/>
        <w:bottom w:val="single" w:sz="4" w:space="0" w:color="auto"/>
      </w:pBdr>
      <w:spacing w:before="100" w:beforeAutospacing="1" w:after="100" w:afterAutospacing="1" w:line="240" w:lineRule="auto"/>
      <w:jc w:val="center"/>
      <w:textAlignment w:val="center"/>
    </w:pPr>
    <w:rPr>
      <w:rFonts w:ascii="Times" w:hAnsi="Times"/>
      <w:b/>
      <w:bCs/>
      <w:sz w:val="20"/>
      <w:szCs w:val="20"/>
      <w:lang w:val="en-GB"/>
    </w:rPr>
  </w:style>
  <w:style w:type="paragraph" w:customStyle="1" w:styleId="xl69">
    <w:name w:val="xl69"/>
    <w:basedOn w:val="Normal"/>
    <w:rsid w:val="00217ADF"/>
    <w:pPr>
      <w:pBdr>
        <w:top w:val="single" w:sz="4" w:space="0" w:color="auto"/>
        <w:bottom w:val="single" w:sz="4" w:space="0" w:color="auto"/>
      </w:pBdr>
      <w:spacing w:before="100" w:beforeAutospacing="1" w:after="100" w:afterAutospacing="1" w:line="240" w:lineRule="auto"/>
      <w:jc w:val="center"/>
      <w:textAlignment w:val="center"/>
    </w:pPr>
    <w:rPr>
      <w:rFonts w:ascii="Times" w:hAnsi="Times"/>
      <w:sz w:val="20"/>
      <w:szCs w:val="20"/>
      <w:lang w:val="en-GB"/>
    </w:rPr>
  </w:style>
  <w:style w:type="paragraph" w:customStyle="1" w:styleId="xl70">
    <w:name w:val="xl70"/>
    <w:basedOn w:val="Normal"/>
    <w:rsid w:val="00217ADF"/>
    <w:pPr>
      <w:pBdr>
        <w:top w:val="single" w:sz="4" w:space="0" w:color="auto"/>
      </w:pBdr>
      <w:spacing w:before="100" w:beforeAutospacing="1" w:after="100" w:afterAutospacing="1" w:line="240" w:lineRule="auto"/>
      <w:jc w:val="center"/>
      <w:textAlignment w:val="center"/>
    </w:pPr>
    <w:rPr>
      <w:rFonts w:ascii="Times" w:hAnsi="Times"/>
      <w:sz w:val="20"/>
      <w:szCs w:val="20"/>
      <w:lang w:val="en-GB"/>
    </w:rPr>
  </w:style>
  <w:style w:type="paragraph" w:customStyle="1" w:styleId="xl71">
    <w:name w:val="xl71"/>
    <w:basedOn w:val="Normal"/>
    <w:rsid w:val="00217ADF"/>
    <w:pPr>
      <w:spacing w:before="100" w:beforeAutospacing="1" w:after="100" w:afterAutospacing="1" w:line="240" w:lineRule="auto"/>
      <w:jc w:val="center"/>
      <w:textAlignment w:val="center"/>
    </w:pPr>
    <w:rPr>
      <w:rFonts w:ascii="Times" w:hAnsi="Times"/>
      <w:sz w:val="20"/>
      <w:szCs w:val="20"/>
      <w:lang w:val="en-GB"/>
    </w:rPr>
  </w:style>
  <w:style w:type="paragraph" w:customStyle="1" w:styleId="xl72">
    <w:name w:val="xl72"/>
    <w:basedOn w:val="Normal"/>
    <w:rsid w:val="00217ADF"/>
    <w:pPr>
      <w:spacing w:before="100" w:beforeAutospacing="1" w:after="100" w:afterAutospacing="1" w:line="240" w:lineRule="auto"/>
      <w:jc w:val="center"/>
      <w:textAlignment w:val="center"/>
    </w:pPr>
    <w:rPr>
      <w:rFonts w:ascii="Times" w:hAnsi="Times"/>
      <w:color w:val="000000"/>
      <w:sz w:val="20"/>
      <w:szCs w:val="20"/>
      <w:lang w:val="en-GB"/>
    </w:rPr>
  </w:style>
  <w:style w:type="paragraph" w:customStyle="1" w:styleId="xl73">
    <w:name w:val="xl73"/>
    <w:basedOn w:val="Normal"/>
    <w:rsid w:val="00217ADF"/>
    <w:pPr>
      <w:pBdr>
        <w:bottom w:val="single" w:sz="8" w:space="0" w:color="auto"/>
      </w:pBdr>
      <w:spacing w:before="100" w:beforeAutospacing="1" w:after="100" w:afterAutospacing="1" w:line="240" w:lineRule="auto"/>
      <w:jc w:val="center"/>
      <w:textAlignment w:val="center"/>
    </w:pPr>
    <w:rPr>
      <w:rFonts w:ascii="Times" w:hAnsi="Times"/>
      <w:color w:val="000000"/>
      <w:sz w:val="20"/>
      <w:szCs w:val="20"/>
      <w:lang w:val="en-GB"/>
    </w:rPr>
  </w:style>
  <w:style w:type="paragraph" w:customStyle="1" w:styleId="xl74">
    <w:name w:val="xl74"/>
    <w:basedOn w:val="Normal"/>
    <w:rsid w:val="00217ADF"/>
    <w:pPr>
      <w:pBdr>
        <w:bottom w:val="single" w:sz="8" w:space="0" w:color="auto"/>
      </w:pBdr>
      <w:spacing w:before="100" w:beforeAutospacing="1" w:after="100" w:afterAutospacing="1" w:line="240" w:lineRule="auto"/>
      <w:jc w:val="center"/>
      <w:textAlignment w:val="center"/>
    </w:pPr>
    <w:rPr>
      <w:rFonts w:ascii="Times" w:hAnsi="Times"/>
      <w:sz w:val="20"/>
      <w:szCs w:val="20"/>
      <w:lang w:val="en-GB"/>
    </w:rPr>
  </w:style>
  <w:style w:type="paragraph" w:customStyle="1" w:styleId="xl75">
    <w:name w:val="xl75"/>
    <w:basedOn w:val="Normal"/>
    <w:rsid w:val="00217ADF"/>
    <w:pPr>
      <w:pBdr>
        <w:top w:val="single" w:sz="4" w:space="0" w:color="auto"/>
      </w:pBdr>
      <w:spacing w:before="100" w:beforeAutospacing="1" w:after="100" w:afterAutospacing="1" w:line="240" w:lineRule="auto"/>
      <w:jc w:val="center"/>
    </w:pPr>
    <w:rPr>
      <w:rFonts w:ascii="Times" w:hAnsi="Times"/>
      <w:sz w:val="20"/>
      <w:szCs w:val="20"/>
      <w:lang w:val="en-GB"/>
    </w:rPr>
  </w:style>
  <w:style w:type="paragraph" w:customStyle="1" w:styleId="xl76">
    <w:name w:val="xl76"/>
    <w:basedOn w:val="Normal"/>
    <w:rsid w:val="00217ADF"/>
    <w:pPr>
      <w:pBdr>
        <w:bottom w:val="single" w:sz="4" w:space="0" w:color="auto"/>
      </w:pBdr>
      <w:spacing w:before="100" w:beforeAutospacing="1" w:after="100" w:afterAutospacing="1" w:line="240" w:lineRule="auto"/>
      <w:jc w:val="center"/>
      <w:textAlignment w:val="center"/>
    </w:pPr>
    <w:rPr>
      <w:rFonts w:ascii="Times" w:hAnsi="Times"/>
      <w:sz w:val="20"/>
      <w:szCs w:val="20"/>
      <w:lang w:val="en-GB"/>
    </w:rPr>
  </w:style>
  <w:style w:type="paragraph" w:customStyle="1" w:styleId="xl77">
    <w:name w:val="xl77"/>
    <w:basedOn w:val="Normal"/>
    <w:rsid w:val="00217ADF"/>
    <w:pPr>
      <w:pBdr>
        <w:bottom w:val="single" w:sz="4" w:space="0" w:color="auto"/>
      </w:pBdr>
      <w:spacing w:before="100" w:beforeAutospacing="1" w:after="100" w:afterAutospacing="1" w:line="240" w:lineRule="auto"/>
      <w:jc w:val="center"/>
    </w:pPr>
    <w:rPr>
      <w:rFonts w:ascii="Times" w:hAnsi="Times"/>
      <w:sz w:val="20"/>
      <w:szCs w:val="20"/>
      <w:lang w:val="en-GB"/>
    </w:rPr>
  </w:style>
  <w:style w:type="paragraph" w:customStyle="1" w:styleId="xl78">
    <w:name w:val="xl78"/>
    <w:basedOn w:val="Normal"/>
    <w:rsid w:val="00217ADF"/>
    <w:pPr>
      <w:pBdr>
        <w:top w:val="single" w:sz="4" w:space="0" w:color="auto"/>
      </w:pBdr>
      <w:spacing w:before="100" w:beforeAutospacing="1" w:after="100" w:afterAutospacing="1" w:line="240" w:lineRule="auto"/>
      <w:jc w:val="center"/>
      <w:textAlignment w:val="center"/>
    </w:pPr>
    <w:rPr>
      <w:rFonts w:ascii="Times" w:hAnsi="Times"/>
      <w:color w:val="000000"/>
      <w:sz w:val="20"/>
      <w:szCs w:val="20"/>
      <w:lang w:val="en-GB"/>
    </w:rPr>
  </w:style>
  <w:style w:type="paragraph" w:customStyle="1" w:styleId="xl79">
    <w:name w:val="xl79"/>
    <w:basedOn w:val="Normal"/>
    <w:rsid w:val="00217ADF"/>
    <w:pPr>
      <w:pBdr>
        <w:top w:val="single" w:sz="4" w:space="0" w:color="auto"/>
      </w:pBdr>
      <w:spacing w:before="100" w:beforeAutospacing="1" w:after="100" w:afterAutospacing="1" w:line="240" w:lineRule="auto"/>
      <w:jc w:val="center"/>
    </w:pPr>
    <w:rPr>
      <w:rFonts w:ascii="Times" w:hAnsi="Times"/>
      <w:color w:val="000000"/>
      <w:sz w:val="20"/>
      <w:szCs w:val="20"/>
      <w:lang w:val="en-GB"/>
    </w:rPr>
  </w:style>
  <w:style w:type="paragraph" w:customStyle="1" w:styleId="xl80">
    <w:name w:val="xl80"/>
    <w:basedOn w:val="Normal"/>
    <w:rsid w:val="00217ADF"/>
    <w:pPr>
      <w:spacing w:before="100" w:beforeAutospacing="1" w:after="100" w:afterAutospacing="1" w:line="240" w:lineRule="auto"/>
      <w:jc w:val="center"/>
    </w:pPr>
    <w:rPr>
      <w:rFonts w:ascii="Times" w:hAnsi="Times"/>
      <w:color w:val="000000"/>
      <w:sz w:val="20"/>
      <w:szCs w:val="20"/>
      <w:lang w:val="en-GB"/>
    </w:rPr>
  </w:style>
  <w:style w:type="paragraph" w:customStyle="1" w:styleId="xl81">
    <w:name w:val="xl81"/>
    <w:basedOn w:val="Normal"/>
    <w:rsid w:val="00217ADF"/>
    <w:pPr>
      <w:pBdr>
        <w:bottom w:val="single" w:sz="4" w:space="0" w:color="auto"/>
      </w:pBdr>
      <w:spacing w:before="100" w:beforeAutospacing="1" w:after="100" w:afterAutospacing="1" w:line="240" w:lineRule="auto"/>
      <w:jc w:val="center"/>
      <w:textAlignment w:val="center"/>
    </w:pPr>
    <w:rPr>
      <w:rFonts w:ascii="Times" w:hAnsi="Times"/>
      <w:color w:val="000000"/>
      <w:sz w:val="20"/>
      <w:szCs w:val="20"/>
      <w:lang w:val="en-GB"/>
    </w:rPr>
  </w:style>
  <w:style w:type="paragraph" w:customStyle="1" w:styleId="xl82">
    <w:name w:val="xl82"/>
    <w:basedOn w:val="Normal"/>
    <w:rsid w:val="00217ADF"/>
    <w:pPr>
      <w:pBdr>
        <w:bottom w:val="single" w:sz="4" w:space="0" w:color="auto"/>
      </w:pBdr>
      <w:spacing w:before="100" w:beforeAutospacing="1" w:after="100" w:afterAutospacing="1" w:line="240" w:lineRule="auto"/>
      <w:jc w:val="center"/>
    </w:pPr>
    <w:rPr>
      <w:rFonts w:ascii="Times" w:hAnsi="Times"/>
      <w:color w:val="000000"/>
      <w:sz w:val="20"/>
      <w:szCs w:val="20"/>
      <w:lang w:val="en-GB"/>
    </w:rPr>
  </w:style>
  <w:style w:type="paragraph" w:customStyle="1" w:styleId="xl83">
    <w:name w:val="xl83"/>
    <w:basedOn w:val="Normal"/>
    <w:rsid w:val="00217ADF"/>
    <w:pPr>
      <w:pBdr>
        <w:bottom w:val="single" w:sz="4" w:space="0" w:color="auto"/>
      </w:pBdr>
      <w:spacing w:before="100" w:beforeAutospacing="1" w:after="100" w:afterAutospacing="1" w:line="240" w:lineRule="auto"/>
      <w:jc w:val="center"/>
    </w:pPr>
    <w:rPr>
      <w:rFonts w:ascii="Times" w:hAnsi="Times"/>
      <w:color w:val="000000"/>
      <w:sz w:val="20"/>
      <w:szCs w:val="20"/>
      <w:lang w:val="en-GB"/>
    </w:rPr>
  </w:style>
  <w:style w:type="paragraph" w:customStyle="1" w:styleId="xl84">
    <w:name w:val="xl84"/>
    <w:basedOn w:val="Normal"/>
    <w:rsid w:val="00217ADF"/>
    <w:pPr>
      <w:pBdr>
        <w:top w:val="single" w:sz="4" w:space="0" w:color="auto"/>
        <w:bottom w:val="single" w:sz="4" w:space="0" w:color="auto"/>
      </w:pBdr>
      <w:spacing w:before="100" w:beforeAutospacing="1" w:after="100" w:afterAutospacing="1" w:line="240" w:lineRule="auto"/>
      <w:jc w:val="center"/>
      <w:textAlignment w:val="center"/>
    </w:pPr>
    <w:rPr>
      <w:rFonts w:ascii="Times" w:hAnsi="Times"/>
      <w:color w:val="000000"/>
      <w:sz w:val="20"/>
      <w:szCs w:val="20"/>
      <w:lang w:val="en-GB"/>
    </w:rPr>
  </w:style>
  <w:style w:type="paragraph" w:customStyle="1" w:styleId="xl85">
    <w:name w:val="xl85"/>
    <w:basedOn w:val="Normal"/>
    <w:rsid w:val="00217ADF"/>
    <w:pPr>
      <w:pBdr>
        <w:top w:val="single" w:sz="4" w:space="0" w:color="auto"/>
        <w:bottom w:val="single" w:sz="4" w:space="0" w:color="auto"/>
      </w:pBdr>
      <w:spacing w:before="100" w:beforeAutospacing="1" w:after="100" w:afterAutospacing="1" w:line="240" w:lineRule="auto"/>
      <w:jc w:val="center"/>
      <w:textAlignment w:val="center"/>
    </w:pPr>
    <w:rPr>
      <w:rFonts w:ascii="Calibri" w:hAnsi="Calibri"/>
      <w:sz w:val="20"/>
      <w:szCs w:val="20"/>
      <w:lang w:val="en-GB"/>
    </w:rPr>
  </w:style>
  <w:style w:type="paragraph" w:customStyle="1" w:styleId="xl86">
    <w:name w:val="xl86"/>
    <w:basedOn w:val="Normal"/>
    <w:rsid w:val="00217ADF"/>
    <w:pPr>
      <w:pBdr>
        <w:top w:val="single" w:sz="8" w:space="0" w:color="auto"/>
        <w:bottom w:val="single" w:sz="4" w:space="0" w:color="auto"/>
      </w:pBdr>
      <w:spacing w:before="100" w:beforeAutospacing="1" w:after="100" w:afterAutospacing="1" w:line="240" w:lineRule="auto"/>
      <w:jc w:val="center"/>
    </w:pPr>
    <w:rPr>
      <w:rFonts w:ascii="Times" w:hAnsi="Times"/>
      <w:b/>
      <w:bCs/>
      <w:sz w:val="20"/>
      <w:szCs w:val="20"/>
      <w:lang w:val="en-GB"/>
    </w:rPr>
  </w:style>
  <w:style w:type="paragraph" w:customStyle="1" w:styleId="xl87">
    <w:name w:val="xl87"/>
    <w:basedOn w:val="Normal"/>
    <w:rsid w:val="00217ADF"/>
    <w:pPr>
      <w:pBdr>
        <w:top w:val="single" w:sz="4" w:space="0" w:color="auto"/>
        <w:bottom w:val="single" w:sz="4" w:space="0" w:color="auto"/>
      </w:pBdr>
      <w:spacing w:before="100" w:beforeAutospacing="1" w:after="100" w:afterAutospacing="1" w:line="240" w:lineRule="auto"/>
      <w:jc w:val="center"/>
    </w:pPr>
    <w:rPr>
      <w:rFonts w:ascii="Times" w:hAnsi="Times"/>
      <w:sz w:val="20"/>
      <w:szCs w:val="20"/>
      <w:lang w:val="en-GB"/>
    </w:rPr>
  </w:style>
  <w:style w:type="paragraph" w:customStyle="1" w:styleId="xl88">
    <w:name w:val="xl88"/>
    <w:basedOn w:val="Normal"/>
    <w:rsid w:val="00217ADF"/>
    <w:pPr>
      <w:pBdr>
        <w:top w:val="single" w:sz="4" w:space="0" w:color="auto"/>
      </w:pBdr>
      <w:spacing w:before="100" w:beforeAutospacing="1" w:after="100" w:afterAutospacing="1" w:line="240" w:lineRule="auto"/>
      <w:jc w:val="center"/>
    </w:pPr>
    <w:rPr>
      <w:rFonts w:ascii="Times" w:hAnsi="Times"/>
      <w:sz w:val="20"/>
      <w:szCs w:val="20"/>
      <w:lang w:val="en-GB"/>
    </w:rPr>
  </w:style>
  <w:style w:type="paragraph" w:customStyle="1" w:styleId="xl89">
    <w:name w:val="xl89"/>
    <w:basedOn w:val="Normal"/>
    <w:rsid w:val="00217ADF"/>
    <w:pPr>
      <w:spacing w:before="100" w:beforeAutospacing="1" w:after="100" w:afterAutospacing="1" w:line="240" w:lineRule="auto"/>
      <w:jc w:val="center"/>
    </w:pPr>
    <w:rPr>
      <w:rFonts w:ascii="Times" w:hAnsi="Times"/>
      <w:sz w:val="20"/>
      <w:szCs w:val="20"/>
      <w:lang w:val="en-GB"/>
    </w:rPr>
  </w:style>
  <w:style w:type="paragraph" w:customStyle="1" w:styleId="xl90">
    <w:name w:val="xl90"/>
    <w:basedOn w:val="Normal"/>
    <w:rsid w:val="00217ADF"/>
    <w:pPr>
      <w:pBdr>
        <w:bottom w:val="single" w:sz="4" w:space="0" w:color="auto"/>
      </w:pBdr>
      <w:spacing w:before="100" w:beforeAutospacing="1" w:after="100" w:afterAutospacing="1" w:line="240" w:lineRule="auto"/>
      <w:jc w:val="center"/>
    </w:pPr>
    <w:rPr>
      <w:rFonts w:ascii="Times" w:hAnsi="Times"/>
      <w:sz w:val="20"/>
      <w:szCs w:val="20"/>
      <w:lang w:val="en-GB"/>
    </w:rPr>
  </w:style>
  <w:style w:type="paragraph" w:customStyle="1" w:styleId="xl91">
    <w:name w:val="xl91"/>
    <w:basedOn w:val="Normal"/>
    <w:rsid w:val="00217ADF"/>
    <w:pPr>
      <w:pBdr>
        <w:top w:val="single" w:sz="4" w:space="0" w:color="auto"/>
      </w:pBdr>
      <w:spacing w:before="100" w:beforeAutospacing="1" w:after="100" w:afterAutospacing="1" w:line="240" w:lineRule="auto"/>
      <w:jc w:val="center"/>
    </w:pPr>
    <w:rPr>
      <w:rFonts w:ascii="Calibri" w:hAnsi="Calibri"/>
      <w:sz w:val="20"/>
      <w:szCs w:val="20"/>
      <w:lang w:val="en-GB"/>
    </w:rPr>
  </w:style>
  <w:style w:type="paragraph" w:customStyle="1" w:styleId="xl92">
    <w:name w:val="xl92"/>
    <w:basedOn w:val="Normal"/>
    <w:rsid w:val="00217ADF"/>
    <w:pPr>
      <w:pBdr>
        <w:top w:val="single" w:sz="4" w:space="0" w:color="auto"/>
      </w:pBdr>
      <w:spacing w:before="100" w:beforeAutospacing="1" w:after="100" w:afterAutospacing="1" w:line="240" w:lineRule="auto"/>
      <w:jc w:val="center"/>
    </w:pPr>
    <w:rPr>
      <w:rFonts w:ascii="Times" w:hAnsi="Times"/>
      <w:color w:val="000000"/>
      <w:sz w:val="20"/>
      <w:szCs w:val="20"/>
      <w:lang w:val="en-GB"/>
    </w:rPr>
  </w:style>
  <w:style w:type="paragraph" w:customStyle="1" w:styleId="xl93">
    <w:name w:val="xl93"/>
    <w:basedOn w:val="Normal"/>
    <w:rsid w:val="00217ADF"/>
    <w:pPr>
      <w:spacing w:before="100" w:beforeAutospacing="1" w:after="100" w:afterAutospacing="1" w:line="240" w:lineRule="auto"/>
      <w:jc w:val="center"/>
    </w:pPr>
    <w:rPr>
      <w:rFonts w:ascii="Times" w:hAnsi="Times"/>
      <w:color w:val="000000"/>
      <w:sz w:val="20"/>
      <w:szCs w:val="20"/>
      <w:lang w:val="en-GB"/>
    </w:rPr>
  </w:style>
  <w:style w:type="paragraph" w:customStyle="1" w:styleId="xl94">
    <w:name w:val="xl94"/>
    <w:basedOn w:val="Normal"/>
    <w:rsid w:val="00217ADF"/>
    <w:pPr>
      <w:pBdr>
        <w:bottom w:val="single" w:sz="4" w:space="0" w:color="auto"/>
      </w:pBdr>
      <w:spacing w:before="100" w:beforeAutospacing="1" w:after="100" w:afterAutospacing="1" w:line="240" w:lineRule="auto"/>
      <w:jc w:val="center"/>
    </w:pPr>
    <w:rPr>
      <w:rFonts w:ascii="Times" w:hAnsi="Times"/>
      <w:color w:val="000000"/>
      <w:sz w:val="20"/>
      <w:szCs w:val="20"/>
      <w:lang w:val="en-GB"/>
    </w:rPr>
  </w:style>
  <w:style w:type="paragraph" w:customStyle="1" w:styleId="xl95">
    <w:name w:val="xl95"/>
    <w:basedOn w:val="Normal"/>
    <w:rsid w:val="00217ADF"/>
    <w:pPr>
      <w:pBdr>
        <w:bottom w:val="single" w:sz="4" w:space="0" w:color="auto"/>
      </w:pBdr>
      <w:spacing w:before="100" w:beforeAutospacing="1" w:after="100" w:afterAutospacing="1" w:line="240" w:lineRule="auto"/>
      <w:jc w:val="center"/>
    </w:pPr>
    <w:rPr>
      <w:rFonts w:ascii="Calibri" w:hAnsi="Calibri"/>
      <w:sz w:val="20"/>
      <w:szCs w:val="20"/>
      <w:lang w:val="en-GB"/>
    </w:rPr>
  </w:style>
  <w:style w:type="paragraph" w:customStyle="1" w:styleId="xl96">
    <w:name w:val="xl96"/>
    <w:basedOn w:val="Normal"/>
    <w:rsid w:val="00217ADF"/>
    <w:pPr>
      <w:spacing w:before="100" w:beforeAutospacing="1" w:after="100" w:afterAutospacing="1" w:line="240" w:lineRule="auto"/>
      <w:jc w:val="center"/>
    </w:pPr>
    <w:rPr>
      <w:rFonts w:ascii="Calibri" w:hAnsi="Calibri"/>
      <w:sz w:val="20"/>
      <w:szCs w:val="20"/>
      <w:lang w:val="en-GB"/>
    </w:rPr>
  </w:style>
  <w:style w:type="paragraph" w:customStyle="1" w:styleId="xl97">
    <w:name w:val="xl97"/>
    <w:basedOn w:val="Normal"/>
    <w:rsid w:val="00217ADF"/>
    <w:pPr>
      <w:pBdr>
        <w:top w:val="single" w:sz="4" w:space="0" w:color="auto"/>
        <w:bottom w:val="single" w:sz="4" w:space="0" w:color="auto"/>
      </w:pBdr>
      <w:spacing w:before="100" w:beforeAutospacing="1" w:after="100" w:afterAutospacing="1" w:line="240" w:lineRule="auto"/>
      <w:jc w:val="center"/>
    </w:pPr>
    <w:rPr>
      <w:rFonts w:ascii="Calibri" w:hAnsi="Calibri"/>
      <w:sz w:val="20"/>
      <w:szCs w:val="20"/>
      <w:lang w:val="en-GB"/>
    </w:rPr>
  </w:style>
  <w:style w:type="paragraph" w:customStyle="1" w:styleId="xl98">
    <w:name w:val="xl98"/>
    <w:basedOn w:val="Normal"/>
    <w:rsid w:val="00217ADF"/>
    <w:pPr>
      <w:pBdr>
        <w:bottom w:val="single" w:sz="8" w:space="0" w:color="auto"/>
      </w:pBdr>
      <w:spacing w:before="100" w:beforeAutospacing="1" w:after="100" w:afterAutospacing="1" w:line="240" w:lineRule="auto"/>
      <w:jc w:val="center"/>
    </w:pPr>
    <w:rPr>
      <w:rFonts w:ascii="Times" w:hAnsi="Times"/>
      <w:sz w:val="20"/>
      <w:szCs w:val="20"/>
      <w:lang w:val="en-GB"/>
    </w:rPr>
  </w:style>
  <w:style w:type="paragraph" w:styleId="FootnoteText">
    <w:name w:val="footnote text"/>
    <w:basedOn w:val="Normal"/>
    <w:link w:val="FootnoteTextChar"/>
    <w:uiPriority w:val="99"/>
    <w:semiHidden/>
    <w:unhideWhenUsed/>
    <w:rsid w:val="00A01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A75"/>
    <w:rPr>
      <w:sz w:val="20"/>
      <w:szCs w:val="20"/>
    </w:rPr>
  </w:style>
  <w:style w:type="character" w:styleId="FootnoteReference">
    <w:name w:val="footnote reference"/>
    <w:basedOn w:val="DefaultParagraphFont"/>
    <w:uiPriority w:val="99"/>
    <w:semiHidden/>
    <w:unhideWhenUsed/>
    <w:rsid w:val="00A01A75"/>
    <w:rPr>
      <w:vertAlign w:val="superscript"/>
    </w:rPr>
  </w:style>
  <w:style w:type="table" w:customStyle="1" w:styleId="TableGrid1">
    <w:name w:val="Table Grid1"/>
    <w:basedOn w:val="TableNormal"/>
    <w:next w:val="TableGrid"/>
    <w:uiPriority w:val="39"/>
    <w:rsid w:val="00D318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851"/>
    <w:rPr>
      <w:color w:val="605E5C"/>
      <w:shd w:val="clear" w:color="auto" w:fill="E1DFDD"/>
    </w:rPr>
  </w:style>
  <w:style w:type="character" w:customStyle="1" w:styleId="Heading1Char">
    <w:name w:val="Heading 1 Char"/>
    <w:basedOn w:val="DefaultParagraphFont"/>
    <w:link w:val="Heading1"/>
    <w:uiPriority w:val="9"/>
    <w:rsid w:val="003B760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760B"/>
    <w:pPr>
      <w:outlineLvl w:val="9"/>
    </w:pPr>
  </w:style>
  <w:style w:type="paragraph" w:styleId="TOC1">
    <w:name w:val="toc 1"/>
    <w:basedOn w:val="Normal"/>
    <w:next w:val="Normal"/>
    <w:autoRedefine/>
    <w:uiPriority w:val="39"/>
    <w:unhideWhenUsed/>
    <w:rsid w:val="000F445F"/>
    <w:pPr>
      <w:tabs>
        <w:tab w:val="right" w:leader="dot" w:pos="9350"/>
      </w:tabs>
      <w:spacing w:after="100"/>
    </w:pPr>
    <w:rPr>
      <w:rFonts w:cstheme="majorHAnsi"/>
      <w:b/>
      <w:bCs/>
      <w:noProof/>
      <w:color w:val="538135" w:themeColor="accent6" w:themeShade="BF"/>
      <w:sz w:val="28"/>
      <w:szCs w:val="28"/>
    </w:rPr>
  </w:style>
  <w:style w:type="character" w:customStyle="1" w:styleId="Heading2Char">
    <w:name w:val="Heading 2 Char"/>
    <w:basedOn w:val="DefaultParagraphFont"/>
    <w:link w:val="Heading2"/>
    <w:uiPriority w:val="9"/>
    <w:semiHidden/>
    <w:rsid w:val="009D39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D393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1236">
      <w:bodyDiv w:val="1"/>
      <w:marLeft w:val="0"/>
      <w:marRight w:val="0"/>
      <w:marTop w:val="0"/>
      <w:marBottom w:val="0"/>
      <w:divBdr>
        <w:top w:val="none" w:sz="0" w:space="0" w:color="auto"/>
        <w:left w:val="none" w:sz="0" w:space="0" w:color="auto"/>
        <w:bottom w:val="none" w:sz="0" w:space="0" w:color="auto"/>
        <w:right w:val="none" w:sz="0" w:space="0" w:color="auto"/>
      </w:divBdr>
    </w:div>
    <w:div w:id="567426731">
      <w:bodyDiv w:val="1"/>
      <w:marLeft w:val="0"/>
      <w:marRight w:val="0"/>
      <w:marTop w:val="0"/>
      <w:marBottom w:val="0"/>
      <w:divBdr>
        <w:top w:val="none" w:sz="0" w:space="0" w:color="auto"/>
        <w:left w:val="none" w:sz="0" w:space="0" w:color="auto"/>
        <w:bottom w:val="none" w:sz="0" w:space="0" w:color="auto"/>
        <w:right w:val="none" w:sz="0" w:space="0" w:color="auto"/>
      </w:divBdr>
    </w:div>
    <w:div w:id="1149592864">
      <w:bodyDiv w:val="1"/>
      <w:marLeft w:val="0"/>
      <w:marRight w:val="0"/>
      <w:marTop w:val="0"/>
      <w:marBottom w:val="0"/>
      <w:divBdr>
        <w:top w:val="none" w:sz="0" w:space="0" w:color="auto"/>
        <w:left w:val="none" w:sz="0" w:space="0" w:color="auto"/>
        <w:bottom w:val="none" w:sz="0" w:space="0" w:color="auto"/>
        <w:right w:val="none" w:sz="0" w:space="0" w:color="auto"/>
      </w:divBdr>
    </w:div>
    <w:div w:id="1162355630">
      <w:bodyDiv w:val="1"/>
      <w:marLeft w:val="0"/>
      <w:marRight w:val="0"/>
      <w:marTop w:val="0"/>
      <w:marBottom w:val="0"/>
      <w:divBdr>
        <w:top w:val="none" w:sz="0" w:space="0" w:color="auto"/>
        <w:left w:val="none" w:sz="0" w:space="0" w:color="auto"/>
        <w:bottom w:val="none" w:sz="0" w:space="0" w:color="auto"/>
        <w:right w:val="none" w:sz="0" w:space="0" w:color="auto"/>
      </w:divBdr>
    </w:div>
    <w:div w:id="1211848206">
      <w:bodyDiv w:val="1"/>
      <w:marLeft w:val="0"/>
      <w:marRight w:val="0"/>
      <w:marTop w:val="0"/>
      <w:marBottom w:val="0"/>
      <w:divBdr>
        <w:top w:val="none" w:sz="0" w:space="0" w:color="auto"/>
        <w:left w:val="none" w:sz="0" w:space="0" w:color="auto"/>
        <w:bottom w:val="none" w:sz="0" w:space="0" w:color="auto"/>
        <w:right w:val="none" w:sz="0" w:space="0" w:color="auto"/>
      </w:divBdr>
    </w:div>
    <w:div w:id="1482118973">
      <w:bodyDiv w:val="1"/>
      <w:marLeft w:val="0"/>
      <w:marRight w:val="0"/>
      <w:marTop w:val="0"/>
      <w:marBottom w:val="0"/>
      <w:divBdr>
        <w:top w:val="none" w:sz="0" w:space="0" w:color="auto"/>
        <w:left w:val="none" w:sz="0" w:space="0" w:color="auto"/>
        <w:bottom w:val="none" w:sz="0" w:space="0" w:color="auto"/>
        <w:right w:val="none" w:sz="0" w:space="0" w:color="auto"/>
      </w:divBdr>
    </w:div>
    <w:div w:id="19073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ymarks.web.unc.edu/international-author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arymarks.web.unc.edu/wp-content/uploads/sites/13018/2021/03/Hooghe_Marks_Schakel_Niedzwiecki_Osterkatz_Shairrosenfield_Measuring-regional-authority_2016.pdf" TargetMode="External"/><Relationship Id="rId4" Type="http://schemas.openxmlformats.org/officeDocument/2006/relationships/settings" Target="settings.xml"/><Relationship Id="rId9" Type="http://schemas.openxmlformats.org/officeDocument/2006/relationships/hyperlink" Target="https://garymarks.web.unc.edu/wp-content/uploads/sites/13018/2021/03/Hooghe_Marks_Schakel_Niedzwiecki_Osterkatz_Shairrosenfield_Measuring-regional-authority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C161-9161-4271-9F2A-11B65595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11</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Shair-Rosenfield</dc:creator>
  <cp:lastModifiedBy>Hooghe, Liesbet</cp:lastModifiedBy>
  <cp:revision>40</cp:revision>
  <cp:lastPrinted>2021-02-19T22:06:00Z</cp:lastPrinted>
  <dcterms:created xsi:type="dcterms:W3CDTF">2021-05-19T22:56:00Z</dcterms:created>
  <dcterms:modified xsi:type="dcterms:W3CDTF">2021-06-01T01:38:00Z</dcterms:modified>
</cp:coreProperties>
</file>